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F615F" w:rsidP="39F75828" w:rsidRDefault="00156BE5" w14:paraId="040F9FBE" w14:textId="417E8DAC">
      <w:pPr>
        <w:spacing w:after="240" w:line="276" w:lineRule="auto"/>
        <w:jc w:val="both"/>
        <w:rPr>
          <w:rFonts w:ascii="Arial" w:hAnsi="Arial" w:cs="Arial" w:asciiTheme="majorAscii" w:hAnsiTheme="majorAscii" w:cstheme="majorAscii"/>
          <w:b w:val="1"/>
          <w:bCs w:val="1"/>
          <w:color w:val="CBA052"/>
          <w:sz w:val="50"/>
          <w:szCs w:val="50"/>
        </w:rPr>
      </w:pPr>
      <w:r w:rsidRPr="39F75828" w:rsidR="00156BE5">
        <w:rPr>
          <w:rFonts w:ascii="Arial" w:hAnsi="Arial" w:cs="Arial" w:asciiTheme="majorAscii" w:hAnsiTheme="majorAscii" w:cstheme="majorAscii"/>
          <w:b w:val="1"/>
          <w:bCs w:val="1"/>
          <w:color w:val="CBA052" w:themeColor="accent1" w:themeTint="FF" w:themeShade="FF"/>
          <w:sz w:val="50"/>
          <w:szCs w:val="50"/>
        </w:rPr>
        <w:t>Annex</w:t>
      </w:r>
      <w:r w:rsidRPr="39F75828" w:rsidR="008D6861">
        <w:rPr>
          <w:rFonts w:ascii="Arial" w:hAnsi="Arial" w:cs="Arial" w:asciiTheme="majorAscii" w:hAnsiTheme="majorAscii" w:cstheme="majorAscii"/>
          <w:b w:val="1"/>
          <w:bCs w:val="1"/>
          <w:color w:val="CBA052" w:themeColor="accent1" w:themeTint="FF" w:themeShade="FF"/>
          <w:sz w:val="50"/>
          <w:szCs w:val="50"/>
        </w:rPr>
        <w:t xml:space="preserve"> </w:t>
      </w:r>
      <w:r w:rsidRPr="39F75828" w:rsidR="1477CA80">
        <w:rPr>
          <w:rFonts w:ascii="Arial" w:hAnsi="Arial" w:cs="Arial" w:asciiTheme="majorAscii" w:hAnsiTheme="majorAscii" w:cstheme="majorAscii"/>
          <w:b w:val="1"/>
          <w:bCs w:val="1"/>
          <w:color w:val="CBA052" w:themeColor="accent1" w:themeTint="FF" w:themeShade="FF"/>
          <w:sz w:val="50"/>
          <w:szCs w:val="50"/>
        </w:rPr>
        <w:t>H</w:t>
      </w:r>
      <w:r w:rsidRPr="39F75828" w:rsidR="008D6861">
        <w:rPr>
          <w:rFonts w:ascii="Arial" w:hAnsi="Arial" w:cs="Arial" w:asciiTheme="majorAscii" w:hAnsiTheme="majorAscii" w:cstheme="majorAscii"/>
          <w:b w:val="1"/>
          <w:bCs w:val="1"/>
          <w:color w:val="9CDBD9" w:themeColor="accent3" w:themeTint="FF" w:themeShade="FF"/>
          <w:sz w:val="50"/>
          <w:szCs w:val="50"/>
        </w:rPr>
        <w:t xml:space="preserve"> </w:t>
      </w:r>
      <w:r w:rsidRPr="39F75828" w:rsidR="008D6861">
        <w:rPr>
          <w:rFonts w:ascii="Arial" w:hAnsi="Arial" w:cs="Arial" w:asciiTheme="majorAscii" w:hAnsiTheme="majorAscii" w:cstheme="majorAscii"/>
          <w:b w:val="1"/>
          <w:bCs w:val="1"/>
          <w:color w:val="CBA052" w:themeColor="accent1" w:themeTint="FF" w:themeShade="FF"/>
          <w:sz w:val="50"/>
          <w:szCs w:val="50"/>
        </w:rPr>
        <w:t>–</w:t>
      </w:r>
      <w:r w:rsidRPr="39F75828" w:rsidR="008D6861">
        <w:rPr>
          <w:rFonts w:ascii="Arial" w:hAnsi="Arial" w:cs="Arial" w:asciiTheme="majorAscii" w:hAnsiTheme="majorAscii" w:cstheme="majorAscii"/>
          <w:b w:val="1"/>
          <w:bCs w:val="1"/>
          <w:color w:val="CBA052" w:themeColor="accent1" w:themeTint="FF" w:themeShade="FF"/>
          <w:sz w:val="50"/>
          <w:szCs w:val="50"/>
        </w:rPr>
        <w:t xml:space="preserve"> </w:t>
      </w:r>
      <w:r w:rsidRPr="39F75828" w:rsidR="00DF615F">
        <w:rPr>
          <w:rFonts w:ascii="Arial" w:hAnsi="Arial" w:cs="Arial" w:asciiTheme="majorAscii" w:hAnsiTheme="majorAscii" w:cstheme="majorAscii"/>
          <w:b w:val="1"/>
          <w:bCs w:val="1"/>
          <w:color w:val="CBA052" w:themeColor="accent1" w:themeTint="FF" w:themeShade="FF"/>
          <w:sz w:val="50"/>
          <w:szCs w:val="50"/>
        </w:rPr>
        <w:t>Regulations</w:t>
      </w:r>
      <w:r w:rsidRPr="39F75828" w:rsidR="00DF615F">
        <w:rPr>
          <w:rFonts w:ascii="Arial" w:hAnsi="Arial" w:cs="Arial" w:asciiTheme="majorAscii" w:hAnsiTheme="majorAscii" w:cstheme="majorAscii"/>
          <w:b w:val="1"/>
          <w:bCs w:val="1"/>
          <w:color w:val="CBA052" w:themeColor="accent1" w:themeTint="FF" w:themeShade="FF"/>
          <w:sz w:val="50"/>
          <w:szCs w:val="50"/>
        </w:rPr>
        <w:t xml:space="preserve"> </w:t>
      </w:r>
      <w:r w:rsidRPr="39F75828" w:rsidR="00DF615F">
        <w:rPr>
          <w:rFonts w:ascii="Arial" w:hAnsi="Arial" w:cs="Arial" w:asciiTheme="majorAscii" w:hAnsiTheme="majorAscii" w:cstheme="majorAscii"/>
          <w:b w:val="1"/>
          <w:bCs w:val="1"/>
          <w:color w:val="CBA052" w:themeColor="accent1" w:themeTint="FF" w:themeShade="FF"/>
          <w:sz w:val="50"/>
          <w:szCs w:val="50"/>
        </w:rPr>
        <w:t>and</w:t>
      </w:r>
      <w:r w:rsidRPr="39F75828" w:rsidR="00DF615F">
        <w:rPr>
          <w:rFonts w:ascii="Arial" w:hAnsi="Arial" w:cs="Arial" w:asciiTheme="majorAscii" w:hAnsiTheme="majorAscii" w:cstheme="majorAscii"/>
          <w:b w:val="1"/>
          <w:bCs w:val="1"/>
          <w:color w:val="CBA052" w:themeColor="accent1" w:themeTint="FF" w:themeShade="FF"/>
          <w:sz w:val="50"/>
          <w:szCs w:val="50"/>
        </w:rPr>
        <w:t xml:space="preserve"> </w:t>
      </w:r>
      <w:r w:rsidRPr="39F75828" w:rsidR="00DF615F">
        <w:rPr>
          <w:rFonts w:ascii="Arial" w:hAnsi="Arial" w:cs="Arial" w:asciiTheme="majorAscii" w:hAnsiTheme="majorAscii" w:cstheme="majorAscii"/>
          <w:b w:val="1"/>
          <w:bCs w:val="1"/>
          <w:color w:val="CBA052" w:themeColor="accent1" w:themeTint="FF" w:themeShade="FF"/>
          <w:sz w:val="50"/>
          <w:szCs w:val="50"/>
        </w:rPr>
        <w:t>conditions</w:t>
      </w:r>
      <w:r w:rsidRPr="39F75828" w:rsidR="00DF615F">
        <w:rPr>
          <w:rFonts w:ascii="Arial" w:hAnsi="Arial" w:cs="Arial" w:asciiTheme="majorAscii" w:hAnsiTheme="majorAscii" w:cstheme="majorAscii"/>
          <w:b w:val="1"/>
          <w:bCs w:val="1"/>
          <w:color w:val="CBA052" w:themeColor="accent1" w:themeTint="FF" w:themeShade="FF"/>
          <w:sz w:val="50"/>
          <w:szCs w:val="50"/>
        </w:rPr>
        <w:t xml:space="preserve"> </w:t>
      </w:r>
    </w:p>
    <w:p w:rsidR="00E06E94" w:rsidP="00520F26" w:rsidRDefault="00E06E94" w14:paraId="1E315896" w14:textId="77777777">
      <w:pPr>
        <w:spacing w:after="240" w:line="276" w:lineRule="auto"/>
        <w:jc w:val="both"/>
        <w:rPr>
          <w:rFonts w:ascii="Arial" w:hAnsi="Arial" w:cs="Arial"/>
          <w:szCs w:val="20"/>
          <w:lang w:val="en-US"/>
        </w:rPr>
      </w:pPr>
      <w:r w:rsidRPr="00E06E94">
        <w:rPr>
          <w:rFonts w:ascii="Arial" w:hAnsi="Arial" w:cs="Arial"/>
          <w:szCs w:val="20"/>
          <w:lang w:val="en-US"/>
        </w:rPr>
        <w:t xml:space="preserve">Submissions must be formatted and submitted according to the following regulations in order to be considered. This is to ensure fair competition among the bidders. This chapter also lists terms and provisions applicable within the scope of this Tender. </w:t>
      </w:r>
    </w:p>
    <w:p w:rsidRPr="00E06E94" w:rsidR="008D6861" w:rsidP="00520F26" w:rsidRDefault="00E06E94" w14:paraId="32003558" w14:textId="66203A46">
      <w:pPr>
        <w:spacing w:after="240" w:line="276" w:lineRule="auto"/>
        <w:jc w:val="both"/>
        <w:rPr>
          <w:rFonts w:ascii="Arial" w:hAnsi="Arial" w:cs="Arial"/>
          <w:szCs w:val="20"/>
          <w:lang w:val="en-US"/>
        </w:rPr>
      </w:pPr>
      <w:r w:rsidRPr="00E06E94">
        <w:rPr>
          <w:rFonts w:ascii="Arial" w:hAnsi="Arial" w:cs="Arial"/>
          <w:szCs w:val="20"/>
          <w:lang w:val="en-US"/>
        </w:rPr>
        <w:t>Submissions that are presented in a deviating manner and submissions that do not meet the conditions are generally invalid and will not be evaluated. In such cases, the bidder will be notified in writing, stating the reason.</w:t>
      </w:r>
      <w:r w:rsidRPr="00E06E94" w:rsidR="008D6861">
        <w:rPr>
          <w:rFonts w:ascii="Arial" w:hAnsi="Arial" w:cs="Arial"/>
          <w:szCs w:val="20"/>
          <w:lang w:val="en-US"/>
        </w:rPr>
        <w:t xml:space="preserve"> </w:t>
      </w:r>
    </w:p>
    <w:p w:rsidRPr="0058650A" w:rsidR="008D6861" w:rsidP="00520F26" w:rsidRDefault="00425F66" w14:paraId="3C49F50A" w14:textId="69B8CC6C">
      <w:pPr>
        <w:pStyle w:val="Lijstalinea"/>
        <w:numPr>
          <w:ilvl w:val="0"/>
          <w:numId w:val="1"/>
        </w:numPr>
        <w:spacing w:after="240" w:line="276" w:lineRule="auto"/>
        <w:jc w:val="both"/>
        <w:rPr>
          <w:rFonts w:ascii="Arial" w:hAnsi="Arial" w:cs="Arial"/>
          <w:szCs w:val="20"/>
        </w:rPr>
      </w:pPr>
      <w:proofErr w:type="spellStart"/>
      <w:r>
        <w:rPr>
          <w:rFonts w:ascii="Arial" w:hAnsi="Arial" w:cs="Arial"/>
          <w:szCs w:val="20"/>
        </w:rPr>
        <w:t>R</w:t>
      </w:r>
      <w:r w:rsidRPr="00425F66">
        <w:rPr>
          <w:rFonts w:ascii="Arial" w:hAnsi="Arial" w:cs="Arial"/>
          <w:szCs w:val="20"/>
        </w:rPr>
        <w:t>eservation</w:t>
      </w:r>
      <w:proofErr w:type="spellEnd"/>
      <w:r w:rsidRPr="00425F66">
        <w:rPr>
          <w:rFonts w:ascii="Arial" w:hAnsi="Arial" w:cs="Arial"/>
          <w:szCs w:val="20"/>
        </w:rPr>
        <w:t xml:space="preserve"> </w:t>
      </w:r>
      <w:proofErr w:type="spellStart"/>
      <w:r w:rsidRPr="00425F66">
        <w:rPr>
          <w:rFonts w:ascii="Arial" w:hAnsi="Arial" w:cs="Arial"/>
          <w:szCs w:val="20"/>
        </w:rPr>
        <w:t>by</w:t>
      </w:r>
      <w:proofErr w:type="spellEnd"/>
      <w:r w:rsidRPr="00425F66">
        <w:rPr>
          <w:rFonts w:ascii="Arial" w:hAnsi="Arial" w:cs="Arial"/>
          <w:szCs w:val="20"/>
        </w:rPr>
        <w:t xml:space="preserve"> </w:t>
      </w:r>
      <w:proofErr w:type="spellStart"/>
      <w:r w:rsidRPr="00425F66">
        <w:rPr>
          <w:rFonts w:ascii="Arial" w:hAnsi="Arial" w:cs="Arial"/>
          <w:szCs w:val="20"/>
        </w:rPr>
        <w:t>the</w:t>
      </w:r>
      <w:proofErr w:type="spellEnd"/>
      <w:r w:rsidRPr="00425F66">
        <w:rPr>
          <w:rFonts w:ascii="Arial" w:hAnsi="Arial" w:cs="Arial"/>
          <w:szCs w:val="20"/>
        </w:rPr>
        <w:t xml:space="preserve"> </w:t>
      </w:r>
      <w:r w:rsidRPr="0058650A" w:rsidR="008D6861">
        <w:rPr>
          <w:rFonts w:ascii="Arial" w:hAnsi="Arial" w:cs="Arial"/>
          <w:szCs w:val="20"/>
        </w:rPr>
        <w:t>KB</w:t>
      </w:r>
    </w:p>
    <w:p w:rsidRPr="00551853" w:rsidR="008D6861" w:rsidP="00520F26" w:rsidRDefault="00551853" w14:paraId="6655C1CB" w14:textId="10ADB387">
      <w:pPr>
        <w:spacing w:after="240" w:line="276" w:lineRule="auto"/>
        <w:jc w:val="both"/>
        <w:rPr>
          <w:rFonts w:ascii="Arial" w:hAnsi="Arial" w:cs="Arial"/>
          <w:szCs w:val="20"/>
          <w:lang w:val="en-US"/>
        </w:rPr>
      </w:pPr>
      <w:r w:rsidRPr="00551853">
        <w:rPr>
          <w:rFonts w:ascii="Arial" w:hAnsi="Arial" w:cs="Arial"/>
          <w:szCs w:val="20"/>
          <w:lang w:val="en-US"/>
        </w:rPr>
        <w:t xml:space="preserve">The </w:t>
      </w:r>
      <w:r>
        <w:rPr>
          <w:rFonts w:ascii="Arial" w:hAnsi="Arial" w:cs="Arial"/>
          <w:szCs w:val="20"/>
          <w:lang w:val="en-US"/>
        </w:rPr>
        <w:t>KB</w:t>
      </w:r>
      <w:r w:rsidRPr="00551853">
        <w:rPr>
          <w:rFonts w:ascii="Arial" w:hAnsi="Arial" w:cs="Arial"/>
          <w:szCs w:val="20"/>
          <w:lang w:val="en-US"/>
        </w:rPr>
        <w:t xml:space="preserve"> reserves the right to suspend the Tender wholly or partially, to temporarily or permanently discontinue it, and/or not to proceed with entering into the Agreement. In such cases, the bidder will be notified in writing, stating the reason</w:t>
      </w:r>
      <w:r w:rsidRPr="00551853" w:rsidR="008D6861">
        <w:rPr>
          <w:rFonts w:ascii="Arial" w:hAnsi="Arial" w:cs="Arial"/>
          <w:szCs w:val="20"/>
          <w:lang w:val="en-US"/>
        </w:rPr>
        <w:t>.</w:t>
      </w:r>
    </w:p>
    <w:p w:rsidRPr="00551853" w:rsidR="008D6861" w:rsidP="00520F26" w:rsidRDefault="00DA2EED" w14:paraId="762007BB" w14:textId="180B884D">
      <w:pPr>
        <w:pStyle w:val="Lijstalinea"/>
        <w:numPr>
          <w:ilvl w:val="0"/>
          <w:numId w:val="1"/>
        </w:numPr>
        <w:spacing w:after="240" w:line="276" w:lineRule="auto"/>
        <w:jc w:val="both"/>
        <w:rPr>
          <w:rFonts w:ascii="Arial" w:hAnsi="Arial" w:cs="Arial"/>
          <w:szCs w:val="20"/>
          <w:lang w:val="en-US"/>
        </w:rPr>
      </w:pPr>
      <w:r w:rsidRPr="00DA2EED">
        <w:rPr>
          <w:rFonts w:ascii="Arial" w:hAnsi="Arial" w:cs="Arial"/>
          <w:szCs w:val="20"/>
          <w:lang w:val="en-US"/>
        </w:rPr>
        <w:t>Applicable law</w:t>
      </w:r>
    </w:p>
    <w:p w:rsidRPr="008A3C95" w:rsidR="008D6861" w:rsidP="00520F26" w:rsidRDefault="008A3C95" w14:paraId="14828B6B" w14:textId="72D3C8C8">
      <w:pPr>
        <w:spacing w:after="240" w:line="276" w:lineRule="auto"/>
        <w:jc w:val="both"/>
        <w:rPr>
          <w:rFonts w:ascii="Arial" w:hAnsi="Arial" w:cs="Arial"/>
          <w:szCs w:val="20"/>
          <w:lang w:val="en-US"/>
        </w:rPr>
      </w:pPr>
      <w:r w:rsidRPr="008A3C95">
        <w:rPr>
          <w:rFonts w:ascii="Arial" w:hAnsi="Arial" w:cs="Arial"/>
          <w:szCs w:val="20"/>
          <w:lang w:val="en-US"/>
        </w:rPr>
        <w:t>This Tender is governed exclusively by Dutch law</w:t>
      </w:r>
      <w:r w:rsidRPr="008A3C95" w:rsidR="008D6861">
        <w:rPr>
          <w:rFonts w:ascii="Arial" w:hAnsi="Arial" w:cs="Arial"/>
          <w:szCs w:val="20"/>
          <w:lang w:val="en-US"/>
        </w:rPr>
        <w:t>.</w:t>
      </w:r>
    </w:p>
    <w:p w:rsidRPr="00DA2EED" w:rsidR="008D6861" w:rsidP="00520F26" w:rsidRDefault="00DA2EED" w14:paraId="6F531AD2" w14:textId="0640CC88">
      <w:pPr>
        <w:pStyle w:val="Lijstalinea"/>
        <w:numPr>
          <w:ilvl w:val="0"/>
          <w:numId w:val="1"/>
        </w:numPr>
        <w:spacing w:after="240" w:line="276" w:lineRule="auto"/>
        <w:jc w:val="both"/>
        <w:rPr>
          <w:rFonts w:ascii="Arial" w:hAnsi="Arial" w:cs="Arial"/>
          <w:szCs w:val="20"/>
          <w:lang w:val="en-US"/>
        </w:rPr>
      </w:pPr>
      <w:r w:rsidRPr="00DA2EED">
        <w:rPr>
          <w:rFonts w:ascii="Arial" w:hAnsi="Arial" w:cs="Arial"/>
          <w:szCs w:val="20"/>
          <w:lang w:val="en-US"/>
        </w:rPr>
        <w:t>English language</w:t>
      </w:r>
    </w:p>
    <w:p w:rsidRPr="003F1E78" w:rsidR="003F1E78" w:rsidP="0568A08A" w:rsidRDefault="003F1E78" w14:paraId="426FBB2B" w14:textId="44866E8C">
      <w:pPr>
        <w:spacing w:after="240" w:line="276" w:lineRule="auto"/>
        <w:jc w:val="both"/>
        <w:rPr>
          <w:rFonts w:ascii="Arial" w:hAnsi="Arial" w:cs="Arial"/>
          <w:lang w:val="en-US"/>
        </w:rPr>
      </w:pPr>
      <w:r w:rsidRPr="003F1E78">
        <w:rPr>
          <w:rFonts w:ascii="Arial" w:hAnsi="Arial" w:cs="Arial"/>
          <w:lang w:val="en-US"/>
        </w:rPr>
        <w:t xml:space="preserve">The submission must be prepared in </w:t>
      </w:r>
      <w:r>
        <w:rPr>
          <w:rFonts w:ascii="Arial" w:hAnsi="Arial" w:cs="Arial"/>
          <w:lang w:val="en-US"/>
        </w:rPr>
        <w:t>English</w:t>
      </w:r>
      <w:r w:rsidRPr="003F1E78">
        <w:rPr>
          <w:rFonts w:ascii="Arial" w:hAnsi="Arial" w:cs="Arial"/>
          <w:lang w:val="en-US"/>
        </w:rPr>
        <w:t xml:space="preserve">. All communication, documents, and correspondence related to this Tender and any subsequent Contract must be conducted and/or prepared in </w:t>
      </w:r>
      <w:r>
        <w:rPr>
          <w:rFonts w:ascii="Arial" w:hAnsi="Arial" w:cs="Arial"/>
          <w:lang w:val="en-US"/>
        </w:rPr>
        <w:t>English.</w:t>
      </w:r>
    </w:p>
    <w:p w:rsidRPr="004E406E" w:rsidR="004829FA" w:rsidP="00520F26" w:rsidRDefault="004E406E" w14:paraId="3A4A4BE5" w14:textId="03F6593D">
      <w:pPr>
        <w:pStyle w:val="Lijstalinea"/>
        <w:numPr>
          <w:ilvl w:val="0"/>
          <w:numId w:val="1"/>
        </w:numPr>
        <w:spacing w:after="240" w:line="276" w:lineRule="auto"/>
        <w:jc w:val="both"/>
        <w:rPr>
          <w:rFonts w:ascii="Arial" w:hAnsi="Arial" w:cs="Arial"/>
          <w:szCs w:val="20"/>
          <w:lang w:val="en-US"/>
        </w:rPr>
      </w:pPr>
      <w:r w:rsidRPr="004E406E">
        <w:rPr>
          <w:rFonts w:ascii="Arial" w:hAnsi="Arial" w:cs="Arial"/>
          <w:szCs w:val="20"/>
          <w:lang w:val="en-US"/>
        </w:rPr>
        <w:t>Submission in accordance with the Tender documents</w:t>
      </w:r>
    </w:p>
    <w:p w:rsidRPr="000D66B0" w:rsidR="00520F26" w:rsidRDefault="000D66B0" w14:paraId="6CEBDF84" w14:textId="611270A4">
      <w:pPr>
        <w:rPr>
          <w:rFonts w:ascii="Arial" w:hAnsi="Arial" w:cs="Arial"/>
          <w:szCs w:val="20"/>
          <w:lang w:val="en-US"/>
        </w:rPr>
      </w:pPr>
      <w:r w:rsidRPr="000D66B0">
        <w:rPr>
          <w:rFonts w:ascii="Arial" w:hAnsi="Arial" w:cs="Arial"/>
          <w:szCs w:val="20"/>
          <w:lang w:val="en-US"/>
        </w:rPr>
        <w:t xml:space="preserve">The bidder must base their submission on the Tender documents. If a bidder fails to provide requested information, or provides it incompletely or inaccurately, this generally leads to the invalidity of the submission and exclusion from further participation in the Tender. By 'inaccurate', the </w:t>
      </w:r>
      <w:r>
        <w:rPr>
          <w:rFonts w:ascii="Arial" w:hAnsi="Arial" w:cs="Arial"/>
          <w:szCs w:val="20"/>
          <w:lang w:val="en-US"/>
        </w:rPr>
        <w:t>KB</w:t>
      </w:r>
      <w:r w:rsidRPr="000D66B0">
        <w:rPr>
          <w:rFonts w:ascii="Arial" w:hAnsi="Arial" w:cs="Arial"/>
          <w:szCs w:val="20"/>
          <w:lang w:val="en-US"/>
        </w:rPr>
        <w:t xml:space="preserve"> understands altering information in the Tender documents or not using a prescribed annex or form.</w:t>
      </w:r>
      <w:r w:rsidRPr="000D66B0" w:rsidR="00520F26">
        <w:rPr>
          <w:rFonts w:ascii="Arial" w:hAnsi="Arial" w:cs="Arial"/>
          <w:szCs w:val="20"/>
          <w:lang w:val="en-US"/>
        </w:rPr>
        <w:br w:type="page"/>
      </w:r>
    </w:p>
    <w:p w:rsidRPr="0058650A" w:rsidR="00DC0A9D" w:rsidP="00520F26" w:rsidRDefault="00EB0C95" w14:paraId="76149A7A" w14:textId="2C1EDFB0">
      <w:pPr>
        <w:pStyle w:val="Lijstalinea"/>
        <w:numPr>
          <w:ilvl w:val="0"/>
          <w:numId w:val="1"/>
        </w:numPr>
        <w:spacing w:after="240" w:line="276" w:lineRule="auto"/>
        <w:jc w:val="both"/>
        <w:rPr>
          <w:rFonts w:ascii="Arial" w:hAnsi="Arial" w:cs="Arial"/>
          <w:szCs w:val="20"/>
        </w:rPr>
      </w:pPr>
      <w:proofErr w:type="spellStart"/>
      <w:r w:rsidRPr="00EB0C95">
        <w:rPr>
          <w:rFonts w:ascii="Arial" w:hAnsi="Arial" w:cs="Arial"/>
          <w:szCs w:val="20"/>
        </w:rPr>
        <w:lastRenderedPageBreak/>
        <w:t>Conditional</w:t>
      </w:r>
      <w:proofErr w:type="spellEnd"/>
      <w:r w:rsidRPr="00EB0C95">
        <w:rPr>
          <w:rFonts w:ascii="Arial" w:hAnsi="Arial" w:cs="Arial"/>
          <w:szCs w:val="20"/>
        </w:rPr>
        <w:t xml:space="preserve"> </w:t>
      </w:r>
      <w:proofErr w:type="spellStart"/>
      <w:r w:rsidRPr="00EB0C95">
        <w:rPr>
          <w:rFonts w:ascii="Arial" w:hAnsi="Arial" w:cs="Arial"/>
          <w:szCs w:val="20"/>
        </w:rPr>
        <w:t>Submission</w:t>
      </w:r>
      <w:proofErr w:type="spellEnd"/>
    </w:p>
    <w:p w:rsidRPr="0058650A" w:rsidR="00DC0A9D" w:rsidP="00520F26" w:rsidRDefault="00530945" w14:paraId="4E7CA6FE" w14:textId="06A55081">
      <w:pPr>
        <w:spacing w:after="240" w:line="276" w:lineRule="auto"/>
        <w:jc w:val="both"/>
        <w:rPr>
          <w:rFonts w:ascii="Arial" w:hAnsi="Arial" w:cs="Arial"/>
          <w:szCs w:val="20"/>
        </w:rPr>
      </w:pPr>
      <w:proofErr w:type="spellStart"/>
      <w:r w:rsidRPr="00530945">
        <w:rPr>
          <w:rFonts w:ascii="Arial" w:hAnsi="Arial" w:cs="Arial"/>
          <w:szCs w:val="20"/>
        </w:rPr>
        <w:t>Submissions</w:t>
      </w:r>
      <w:proofErr w:type="spellEnd"/>
      <w:r w:rsidRPr="00530945">
        <w:rPr>
          <w:rFonts w:ascii="Arial" w:hAnsi="Arial" w:cs="Arial"/>
          <w:szCs w:val="20"/>
        </w:rPr>
        <w:t xml:space="preserve"> </w:t>
      </w:r>
      <w:proofErr w:type="spellStart"/>
      <w:r w:rsidRPr="00530945">
        <w:rPr>
          <w:rFonts w:ascii="Arial" w:hAnsi="Arial" w:cs="Arial"/>
          <w:szCs w:val="20"/>
        </w:rPr>
        <w:t>that</w:t>
      </w:r>
      <w:proofErr w:type="spellEnd"/>
      <w:r w:rsidRPr="00530945">
        <w:rPr>
          <w:rFonts w:ascii="Arial" w:hAnsi="Arial" w:cs="Arial"/>
          <w:szCs w:val="20"/>
        </w:rPr>
        <w:t xml:space="preserve"> are </w:t>
      </w:r>
      <w:proofErr w:type="spellStart"/>
      <w:r w:rsidRPr="00530945">
        <w:rPr>
          <w:rFonts w:ascii="Arial" w:hAnsi="Arial" w:cs="Arial"/>
          <w:szCs w:val="20"/>
        </w:rPr>
        <w:t>conditional</w:t>
      </w:r>
      <w:proofErr w:type="spellEnd"/>
      <w:r w:rsidRPr="00530945">
        <w:rPr>
          <w:rFonts w:ascii="Arial" w:hAnsi="Arial" w:cs="Arial"/>
          <w:szCs w:val="20"/>
        </w:rPr>
        <w:t xml:space="preserve"> or have </w:t>
      </w:r>
      <w:proofErr w:type="spellStart"/>
      <w:r w:rsidRPr="00530945">
        <w:rPr>
          <w:rFonts w:ascii="Arial" w:hAnsi="Arial" w:cs="Arial"/>
          <w:szCs w:val="20"/>
        </w:rPr>
        <w:t>reservations</w:t>
      </w:r>
      <w:proofErr w:type="spellEnd"/>
      <w:r w:rsidRPr="00530945">
        <w:rPr>
          <w:rFonts w:ascii="Arial" w:hAnsi="Arial" w:cs="Arial"/>
          <w:szCs w:val="20"/>
        </w:rPr>
        <w:t xml:space="preserve"> are </w:t>
      </w:r>
      <w:proofErr w:type="spellStart"/>
      <w:r w:rsidRPr="00530945">
        <w:rPr>
          <w:rFonts w:ascii="Arial" w:hAnsi="Arial" w:cs="Arial"/>
          <w:szCs w:val="20"/>
        </w:rPr>
        <w:t>generally</w:t>
      </w:r>
      <w:proofErr w:type="spellEnd"/>
      <w:r w:rsidRPr="00530945">
        <w:rPr>
          <w:rFonts w:ascii="Arial" w:hAnsi="Arial" w:cs="Arial"/>
          <w:szCs w:val="20"/>
        </w:rPr>
        <w:t xml:space="preserve"> </w:t>
      </w:r>
      <w:proofErr w:type="spellStart"/>
      <w:r w:rsidRPr="00530945">
        <w:rPr>
          <w:rFonts w:ascii="Arial" w:hAnsi="Arial" w:cs="Arial"/>
          <w:szCs w:val="20"/>
        </w:rPr>
        <w:t>considered</w:t>
      </w:r>
      <w:proofErr w:type="spellEnd"/>
      <w:r w:rsidRPr="00530945">
        <w:rPr>
          <w:rFonts w:ascii="Arial" w:hAnsi="Arial" w:cs="Arial"/>
          <w:szCs w:val="20"/>
        </w:rPr>
        <w:t xml:space="preserve"> </w:t>
      </w:r>
      <w:proofErr w:type="spellStart"/>
      <w:r w:rsidRPr="00530945">
        <w:rPr>
          <w:rFonts w:ascii="Arial" w:hAnsi="Arial" w:cs="Arial"/>
          <w:szCs w:val="20"/>
        </w:rPr>
        <w:t>invalid</w:t>
      </w:r>
      <w:proofErr w:type="spellEnd"/>
      <w:r w:rsidRPr="00530945">
        <w:rPr>
          <w:rFonts w:ascii="Arial" w:hAnsi="Arial" w:cs="Arial"/>
          <w:szCs w:val="20"/>
        </w:rPr>
        <w:t xml:space="preserve"> </w:t>
      </w:r>
      <w:proofErr w:type="spellStart"/>
      <w:r w:rsidRPr="00530945">
        <w:rPr>
          <w:rFonts w:ascii="Arial" w:hAnsi="Arial" w:cs="Arial"/>
          <w:szCs w:val="20"/>
        </w:rPr>
        <w:t>and</w:t>
      </w:r>
      <w:proofErr w:type="spellEnd"/>
      <w:r w:rsidRPr="00530945">
        <w:rPr>
          <w:rFonts w:ascii="Arial" w:hAnsi="Arial" w:cs="Arial"/>
          <w:szCs w:val="20"/>
        </w:rPr>
        <w:t xml:space="preserve"> </w:t>
      </w:r>
      <w:proofErr w:type="spellStart"/>
      <w:r w:rsidRPr="00530945">
        <w:rPr>
          <w:rFonts w:ascii="Arial" w:hAnsi="Arial" w:cs="Arial"/>
          <w:szCs w:val="20"/>
        </w:rPr>
        <w:t>excluded</w:t>
      </w:r>
      <w:proofErr w:type="spellEnd"/>
      <w:r w:rsidRPr="00530945">
        <w:rPr>
          <w:rFonts w:ascii="Arial" w:hAnsi="Arial" w:cs="Arial"/>
          <w:szCs w:val="20"/>
        </w:rPr>
        <w:t xml:space="preserve"> </w:t>
      </w:r>
      <w:proofErr w:type="spellStart"/>
      <w:r w:rsidRPr="00530945">
        <w:rPr>
          <w:rFonts w:ascii="Arial" w:hAnsi="Arial" w:cs="Arial"/>
          <w:szCs w:val="20"/>
        </w:rPr>
        <w:t>from</w:t>
      </w:r>
      <w:proofErr w:type="spellEnd"/>
      <w:r w:rsidRPr="00530945">
        <w:rPr>
          <w:rFonts w:ascii="Arial" w:hAnsi="Arial" w:cs="Arial"/>
          <w:szCs w:val="20"/>
        </w:rPr>
        <w:t xml:space="preserve"> </w:t>
      </w:r>
      <w:proofErr w:type="spellStart"/>
      <w:r w:rsidRPr="00530945">
        <w:rPr>
          <w:rFonts w:ascii="Arial" w:hAnsi="Arial" w:cs="Arial"/>
          <w:szCs w:val="20"/>
        </w:rPr>
        <w:t>further</w:t>
      </w:r>
      <w:proofErr w:type="spellEnd"/>
      <w:r w:rsidRPr="00530945">
        <w:rPr>
          <w:rFonts w:ascii="Arial" w:hAnsi="Arial" w:cs="Arial"/>
          <w:szCs w:val="20"/>
        </w:rPr>
        <w:t xml:space="preserve"> </w:t>
      </w:r>
      <w:proofErr w:type="spellStart"/>
      <w:r w:rsidRPr="00530945">
        <w:rPr>
          <w:rFonts w:ascii="Arial" w:hAnsi="Arial" w:cs="Arial"/>
          <w:szCs w:val="20"/>
        </w:rPr>
        <w:t>participation</w:t>
      </w:r>
      <w:proofErr w:type="spellEnd"/>
      <w:r w:rsidRPr="00530945">
        <w:rPr>
          <w:rFonts w:ascii="Arial" w:hAnsi="Arial" w:cs="Arial"/>
          <w:szCs w:val="20"/>
        </w:rPr>
        <w:t xml:space="preserve"> in </w:t>
      </w:r>
      <w:proofErr w:type="spellStart"/>
      <w:r w:rsidRPr="00530945">
        <w:rPr>
          <w:rFonts w:ascii="Arial" w:hAnsi="Arial" w:cs="Arial"/>
          <w:szCs w:val="20"/>
        </w:rPr>
        <w:t>the</w:t>
      </w:r>
      <w:proofErr w:type="spellEnd"/>
      <w:r w:rsidRPr="00530945">
        <w:rPr>
          <w:rFonts w:ascii="Arial" w:hAnsi="Arial" w:cs="Arial"/>
          <w:szCs w:val="20"/>
        </w:rPr>
        <w:t xml:space="preserve"> Tender.</w:t>
      </w:r>
      <w:r w:rsidRPr="0058650A" w:rsidR="00DC0A9D">
        <w:rPr>
          <w:rFonts w:ascii="Arial" w:hAnsi="Arial" w:cs="Arial"/>
          <w:szCs w:val="20"/>
        </w:rPr>
        <w:t xml:space="preserve"> </w:t>
      </w:r>
    </w:p>
    <w:p w:rsidRPr="00530945" w:rsidR="00DC0A9D" w:rsidP="00520F26" w:rsidRDefault="00724C1D" w14:paraId="2DBA0C01" w14:textId="1E7B4918">
      <w:pPr>
        <w:pStyle w:val="Lijstalinea"/>
        <w:numPr>
          <w:ilvl w:val="0"/>
          <w:numId w:val="1"/>
        </w:numPr>
        <w:spacing w:after="240" w:line="276" w:lineRule="auto"/>
        <w:jc w:val="both"/>
        <w:rPr>
          <w:rFonts w:ascii="Arial" w:hAnsi="Arial" w:cs="Arial"/>
          <w:szCs w:val="20"/>
          <w:lang w:val="en-US"/>
        </w:rPr>
      </w:pPr>
      <w:r w:rsidRPr="00530945">
        <w:rPr>
          <w:rFonts w:ascii="Arial" w:hAnsi="Arial" w:cs="Arial"/>
          <w:szCs w:val="20"/>
          <w:lang w:val="en-US"/>
        </w:rPr>
        <w:t>Partial Submission</w:t>
      </w:r>
    </w:p>
    <w:p w:rsidRPr="000022A2" w:rsidR="00DC0A9D" w:rsidP="00520F26" w:rsidRDefault="000022A2" w14:paraId="7212EB6D" w14:textId="11F1419F">
      <w:pPr>
        <w:spacing w:after="240" w:line="276" w:lineRule="auto"/>
        <w:jc w:val="both"/>
        <w:rPr>
          <w:rFonts w:ascii="Arial" w:hAnsi="Arial" w:cs="Arial"/>
          <w:szCs w:val="20"/>
          <w:lang w:val="en-US"/>
        </w:rPr>
      </w:pPr>
      <w:r w:rsidRPr="000022A2">
        <w:rPr>
          <w:rFonts w:ascii="Arial" w:hAnsi="Arial" w:cs="Arial"/>
          <w:szCs w:val="20"/>
          <w:lang w:val="en-US"/>
        </w:rPr>
        <w:t>Submitting a bid for only a part of the Contract is not allowed.</w:t>
      </w:r>
    </w:p>
    <w:p w:rsidRPr="00724C1D" w:rsidR="00DC0A9D" w:rsidP="00520F26" w:rsidRDefault="00724C1D" w14:paraId="7CDE91FA" w14:textId="65A80C6B">
      <w:pPr>
        <w:pStyle w:val="Lijstalinea"/>
        <w:numPr>
          <w:ilvl w:val="0"/>
          <w:numId w:val="1"/>
        </w:numPr>
        <w:spacing w:after="240" w:line="276" w:lineRule="auto"/>
        <w:jc w:val="both"/>
        <w:rPr>
          <w:rFonts w:ascii="Arial" w:hAnsi="Arial" w:cs="Arial"/>
          <w:szCs w:val="20"/>
          <w:lang w:val="en-US"/>
        </w:rPr>
      </w:pPr>
      <w:r w:rsidRPr="00724C1D">
        <w:rPr>
          <w:rFonts w:ascii="Arial" w:hAnsi="Arial" w:cs="Arial"/>
          <w:szCs w:val="20"/>
          <w:lang w:val="en-US"/>
        </w:rPr>
        <w:t>Statement of Prices, Rates, and Costs</w:t>
      </w:r>
    </w:p>
    <w:p w:rsidRPr="000022A2" w:rsidR="00DC0A9D" w:rsidP="00520F26" w:rsidRDefault="000022A2" w14:paraId="0B63970F" w14:textId="61111F66">
      <w:pPr>
        <w:spacing w:after="240" w:line="276" w:lineRule="auto"/>
        <w:jc w:val="both"/>
        <w:rPr>
          <w:rFonts w:ascii="Arial" w:hAnsi="Arial" w:cs="Arial"/>
          <w:szCs w:val="20"/>
          <w:lang w:val="en-US"/>
        </w:rPr>
      </w:pPr>
      <w:r w:rsidRPr="000022A2">
        <w:rPr>
          <w:rFonts w:ascii="Arial" w:hAnsi="Arial" w:cs="Arial"/>
          <w:szCs w:val="20"/>
          <w:lang w:val="en-US"/>
        </w:rPr>
        <w:t>The prices, rates, and costs stated by the bidder must be market-conform, plausible, and realistic.</w:t>
      </w:r>
    </w:p>
    <w:p w:rsidRPr="0058650A" w:rsidR="00DC0A9D" w:rsidP="39F75828" w:rsidRDefault="00724C1D" w14:paraId="59DB3A82" w14:textId="436F219F">
      <w:pPr>
        <w:pStyle w:val="Lijstalinea"/>
        <w:numPr>
          <w:ilvl w:val="0"/>
          <w:numId w:val="1"/>
        </w:numPr>
        <w:spacing w:after="240" w:line="276" w:lineRule="auto"/>
        <w:jc w:val="both"/>
        <w:rPr>
          <w:rFonts w:ascii="Arial" w:hAnsi="Arial" w:cs="Arial"/>
        </w:rPr>
      </w:pPr>
      <w:r w:rsidRPr="39F75828" w:rsidR="00724C1D">
        <w:rPr>
          <w:rFonts w:ascii="Arial" w:hAnsi="Arial" w:cs="Arial"/>
        </w:rPr>
        <w:t>Manipulative</w:t>
      </w:r>
      <w:r w:rsidRPr="39F75828" w:rsidR="00724C1D">
        <w:rPr>
          <w:rFonts w:ascii="Arial" w:hAnsi="Arial" w:cs="Arial"/>
        </w:rPr>
        <w:t xml:space="preserve"> </w:t>
      </w:r>
      <w:r w:rsidRPr="39F75828" w:rsidR="00724C1D">
        <w:rPr>
          <w:rFonts w:ascii="Arial" w:hAnsi="Arial" w:cs="Arial"/>
        </w:rPr>
        <w:t>Bidding</w:t>
      </w:r>
    </w:p>
    <w:p w:rsidR="00C337DD" w:rsidP="00520F26" w:rsidRDefault="00C337DD" w14:paraId="78E06EF9" w14:textId="77777777">
      <w:pPr>
        <w:spacing w:after="240" w:line="276" w:lineRule="auto"/>
        <w:jc w:val="both"/>
        <w:rPr>
          <w:rFonts w:ascii="Arial" w:hAnsi="Arial" w:cs="Arial"/>
          <w:szCs w:val="20"/>
          <w:lang w:val="en-US"/>
        </w:rPr>
      </w:pPr>
      <w:r w:rsidRPr="00C337DD">
        <w:rPr>
          <w:rFonts w:ascii="Arial" w:hAnsi="Arial" w:cs="Arial"/>
          <w:szCs w:val="20"/>
          <w:lang w:val="en-US"/>
        </w:rPr>
        <w:t>Bidders are not allowed to engage in manipulative bidding. In this context, this means using an improper means to evade competition from other bidders, or misusing the announced standard for assessing the most economically advantageous submission, thereby frustrating the evaluation methodology used by the contracting authority.</w:t>
      </w:r>
    </w:p>
    <w:p w:rsidRPr="00C337DD" w:rsidR="00DC0A9D" w:rsidP="00520F26" w:rsidRDefault="00C337DD" w14:paraId="6B5A5B7A" w14:textId="30D8EB13">
      <w:pPr>
        <w:spacing w:after="240" w:line="276" w:lineRule="auto"/>
        <w:jc w:val="both"/>
        <w:rPr>
          <w:rFonts w:ascii="Arial" w:hAnsi="Arial" w:cs="Arial"/>
          <w:szCs w:val="20"/>
          <w:lang w:val="en-US"/>
        </w:rPr>
      </w:pPr>
      <w:r w:rsidRPr="00C337DD">
        <w:rPr>
          <w:rFonts w:ascii="Arial" w:hAnsi="Arial" w:cs="Arial"/>
          <w:szCs w:val="20"/>
          <w:lang w:val="en-US"/>
        </w:rPr>
        <w:t>A bidder may not make an offer that, according to objective business economic standards, is not market-conform, not plausible, or otherwise has a manipulative character. A submission is considered manipulative, in particular, if one or more rates frustrate the used formula or if there are negative or zero rates.</w:t>
      </w:r>
    </w:p>
    <w:p w:rsidRPr="00C337DD" w:rsidR="00DC0A9D" w:rsidP="00520F26" w:rsidRDefault="00C337DD" w14:paraId="7D9CBA2E" w14:textId="4C774A25">
      <w:pPr>
        <w:spacing w:after="240" w:line="276" w:lineRule="auto"/>
        <w:jc w:val="both"/>
        <w:rPr>
          <w:rFonts w:ascii="Arial" w:hAnsi="Arial" w:cs="Arial"/>
          <w:szCs w:val="20"/>
          <w:lang w:val="en-US"/>
        </w:rPr>
      </w:pPr>
      <w:r w:rsidRPr="00C337DD">
        <w:rPr>
          <w:rFonts w:ascii="Arial" w:hAnsi="Arial" w:cs="Arial"/>
          <w:szCs w:val="20"/>
          <w:lang w:val="en-US"/>
        </w:rPr>
        <w:t>It is also not allowed to alter the format of the pricing sheet. A bidder who violates this provision is generally excluded from further participation in the Tender.</w:t>
      </w:r>
    </w:p>
    <w:p w:rsidRPr="00530945" w:rsidR="00380931" w:rsidP="00520F26" w:rsidRDefault="00530945" w14:paraId="058EE2B6" w14:textId="1C86DA9B">
      <w:pPr>
        <w:pStyle w:val="Lijstalinea"/>
        <w:numPr>
          <w:ilvl w:val="0"/>
          <w:numId w:val="1"/>
        </w:numPr>
        <w:spacing w:after="240" w:line="276" w:lineRule="auto"/>
        <w:jc w:val="both"/>
        <w:rPr>
          <w:rFonts w:ascii="Arial" w:hAnsi="Arial" w:cs="Arial"/>
          <w:szCs w:val="20"/>
          <w:lang w:val="en-US"/>
        </w:rPr>
      </w:pPr>
      <w:r w:rsidRPr="00530945">
        <w:rPr>
          <w:rFonts w:ascii="Arial" w:hAnsi="Arial" w:cs="Arial"/>
          <w:szCs w:val="20"/>
          <w:lang w:val="en-US"/>
        </w:rPr>
        <w:t>Validity Period of the Submission</w:t>
      </w:r>
    </w:p>
    <w:p w:rsidRPr="00302286" w:rsidR="000754A4" w:rsidP="00520F26" w:rsidRDefault="00302286" w14:paraId="7232BB09" w14:textId="0BBBABFF">
      <w:pPr>
        <w:spacing w:after="240" w:line="276" w:lineRule="auto"/>
        <w:jc w:val="both"/>
        <w:rPr>
          <w:rFonts w:ascii="Arial" w:hAnsi="Arial" w:cs="Arial"/>
          <w:szCs w:val="20"/>
          <w:lang w:val="en-US"/>
        </w:rPr>
      </w:pPr>
      <w:r w:rsidRPr="00302286">
        <w:rPr>
          <w:rFonts w:ascii="Arial" w:hAnsi="Arial" w:cs="Arial"/>
          <w:szCs w:val="20"/>
          <w:lang w:val="en-US"/>
        </w:rPr>
        <w:t>The submission constitutes an irrevocable offer in the sense of Article 6:219 paragraph 1 of the Civil Code. The bidder must uphold the submission for at least three months from the date of receipt of the submission. If a preliminary injunction is filed against the award decision, the validity period extends to at least six weeks after the irrevocable ruling in the preliminary injunction. The contracting authority may request an extension of the validity period. No entitlement to the Contract can be derived from such a request.</w:t>
      </w:r>
    </w:p>
    <w:p w:rsidRPr="0058650A" w:rsidR="00FA26D7" w:rsidP="00520F26" w:rsidRDefault="009757AE" w14:paraId="043DB46B" w14:textId="5E28FE24">
      <w:pPr>
        <w:pStyle w:val="Lijstalinea"/>
        <w:numPr>
          <w:ilvl w:val="0"/>
          <w:numId w:val="1"/>
        </w:numPr>
        <w:spacing w:after="240" w:line="276" w:lineRule="auto"/>
        <w:jc w:val="both"/>
        <w:rPr>
          <w:rFonts w:ascii="Arial" w:hAnsi="Arial" w:cs="Arial"/>
          <w:szCs w:val="20"/>
        </w:rPr>
      </w:pPr>
      <w:proofErr w:type="spellStart"/>
      <w:r w:rsidRPr="009757AE">
        <w:rPr>
          <w:rFonts w:ascii="Arial" w:hAnsi="Arial" w:cs="Arial"/>
          <w:szCs w:val="20"/>
        </w:rPr>
        <w:t>Number</w:t>
      </w:r>
      <w:proofErr w:type="spellEnd"/>
      <w:r w:rsidRPr="009757AE">
        <w:rPr>
          <w:rFonts w:ascii="Arial" w:hAnsi="Arial" w:cs="Arial"/>
          <w:szCs w:val="20"/>
        </w:rPr>
        <w:t xml:space="preserve"> of </w:t>
      </w:r>
      <w:proofErr w:type="spellStart"/>
      <w:r w:rsidRPr="009757AE">
        <w:rPr>
          <w:rFonts w:ascii="Arial" w:hAnsi="Arial" w:cs="Arial"/>
          <w:szCs w:val="20"/>
        </w:rPr>
        <w:t>Submissions</w:t>
      </w:r>
      <w:proofErr w:type="spellEnd"/>
    </w:p>
    <w:p w:rsidRPr="005A5FB5" w:rsidR="00253D9D" w:rsidP="00520F26" w:rsidRDefault="005A5FB5" w14:paraId="649ACD2B" w14:textId="0EE50950">
      <w:pPr>
        <w:spacing w:after="240" w:line="276" w:lineRule="auto"/>
        <w:jc w:val="both"/>
        <w:rPr>
          <w:rFonts w:ascii="Arial" w:hAnsi="Arial" w:cs="Arial"/>
          <w:szCs w:val="20"/>
          <w:lang w:val="en-US"/>
        </w:rPr>
      </w:pPr>
      <w:r w:rsidRPr="005A5FB5">
        <w:rPr>
          <w:rFonts w:ascii="Arial" w:hAnsi="Arial" w:cs="Arial"/>
          <w:szCs w:val="20"/>
          <w:lang w:val="en-US"/>
        </w:rPr>
        <w:t>A bidder (individual or company) may only submit one proposal, either as an independent bidder, as a member of a consortium, or as a subcontractor. For the purposes of this provision, legal entities and/or companies that meet the following conditions are considered as one legal entity or company:</w:t>
      </w:r>
    </w:p>
    <w:p w:rsidRPr="005A5FB5" w:rsidR="00253D9D" w:rsidP="00520F26" w:rsidRDefault="005A5FB5" w14:paraId="21BDCFB4" w14:textId="24136711">
      <w:pPr>
        <w:numPr>
          <w:ilvl w:val="0"/>
          <w:numId w:val="2"/>
        </w:numPr>
        <w:spacing w:after="240" w:line="276" w:lineRule="auto"/>
        <w:jc w:val="both"/>
        <w:rPr>
          <w:rFonts w:ascii="Arial" w:hAnsi="Arial" w:cs="Arial"/>
          <w:szCs w:val="20"/>
          <w:lang w:val="en-US"/>
        </w:rPr>
      </w:pPr>
      <w:r w:rsidRPr="005A5FB5">
        <w:rPr>
          <w:rFonts w:ascii="Arial" w:hAnsi="Arial" w:cs="Arial"/>
          <w:szCs w:val="20"/>
          <w:lang w:val="en-US"/>
        </w:rPr>
        <w:t xml:space="preserve">Legal entities and/or companies that are affiliated with each other in a manner as referred to in Article 2:24a of the </w:t>
      </w:r>
      <w:r>
        <w:rPr>
          <w:rFonts w:ascii="Arial" w:hAnsi="Arial" w:cs="Arial"/>
          <w:szCs w:val="20"/>
          <w:lang w:val="en-US"/>
        </w:rPr>
        <w:t xml:space="preserve">Dutch </w:t>
      </w:r>
      <w:r w:rsidRPr="005A5FB5">
        <w:rPr>
          <w:rFonts w:ascii="Arial" w:hAnsi="Arial" w:cs="Arial"/>
          <w:szCs w:val="20"/>
          <w:lang w:val="en-US"/>
        </w:rPr>
        <w:t>Civil Code</w:t>
      </w:r>
      <w:r w:rsidRPr="005A5FB5" w:rsidR="00253D9D">
        <w:rPr>
          <w:rFonts w:ascii="Arial" w:hAnsi="Arial" w:cs="Arial"/>
          <w:szCs w:val="20"/>
          <w:lang w:val="en-US"/>
        </w:rPr>
        <w:t>;</w:t>
      </w:r>
    </w:p>
    <w:p w:rsidRPr="004D7141" w:rsidR="00253D9D" w:rsidP="00520F26" w:rsidRDefault="004D7141" w14:paraId="09D5E125" w14:textId="3DC494E9">
      <w:pPr>
        <w:numPr>
          <w:ilvl w:val="0"/>
          <w:numId w:val="2"/>
        </w:numPr>
        <w:spacing w:after="240" w:line="276" w:lineRule="auto"/>
        <w:jc w:val="both"/>
        <w:rPr>
          <w:rFonts w:ascii="Arial" w:hAnsi="Arial" w:cs="Arial"/>
          <w:szCs w:val="20"/>
          <w:lang w:val="en-US"/>
        </w:rPr>
      </w:pPr>
      <w:r w:rsidRPr="004D7141">
        <w:rPr>
          <w:rFonts w:ascii="Arial" w:hAnsi="Arial" w:cs="Arial"/>
          <w:szCs w:val="20"/>
          <w:lang w:val="en-US"/>
        </w:rPr>
        <w:lastRenderedPageBreak/>
        <w:t xml:space="preserve">Legal entities and/or companies that are connected in a group as referred to in Article 2:24b of the </w:t>
      </w:r>
      <w:r>
        <w:rPr>
          <w:rFonts w:ascii="Arial" w:hAnsi="Arial" w:cs="Arial"/>
          <w:szCs w:val="20"/>
          <w:lang w:val="en-US"/>
        </w:rPr>
        <w:t xml:space="preserve">Dutch </w:t>
      </w:r>
      <w:r w:rsidRPr="004D7141">
        <w:rPr>
          <w:rFonts w:ascii="Arial" w:hAnsi="Arial" w:cs="Arial"/>
          <w:szCs w:val="20"/>
          <w:lang w:val="en-US"/>
        </w:rPr>
        <w:t>Civil Code; or</w:t>
      </w:r>
    </w:p>
    <w:p w:rsidRPr="00060364" w:rsidR="00253D9D" w:rsidP="00520F26" w:rsidRDefault="00060364" w14:paraId="6D2AF71F" w14:textId="157A26E4">
      <w:pPr>
        <w:numPr>
          <w:ilvl w:val="0"/>
          <w:numId w:val="2"/>
        </w:numPr>
        <w:spacing w:after="240" w:line="276" w:lineRule="auto"/>
        <w:jc w:val="both"/>
        <w:rPr>
          <w:rFonts w:ascii="Arial" w:hAnsi="Arial" w:cs="Arial"/>
          <w:szCs w:val="20"/>
          <w:lang w:val="en-US"/>
        </w:rPr>
      </w:pPr>
      <w:r w:rsidRPr="00060364">
        <w:rPr>
          <w:rFonts w:ascii="Arial" w:hAnsi="Arial" w:cs="Arial"/>
          <w:szCs w:val="20"/>
          <w:lang w:val="en-US"/>
        </w:rPr>
        <w:t>Legal entities and/or companies that are affiliated with each other in legal forms comparable to those described in sub a or sub b under foreign law</w:t>
      </w:r>
      <w:r w:rsidRPr="00060364" w:rsidR="00253D9D">
        <w:rPr>
          <w:rFonts w:ascii="Arial" w:hAnsi="Arial" w:cs="Arial"/>
          <w:szCs w:val="20"/>
          <w:lang w:val="en-US"/>
        </w:rPr>
        <w:t>.</w:t>
      </w:r>
    </w:p>
    <w:p w:rsidRPr="00CA5DEA" w:rsidR="00CA5DEA" w:rsidP="00CA5DEA" w:rsidRDefault="00CA5DEA" w14:paraId="26919538" w14:textId="40FDDB69">
      <w:pPr>
        <w:spacing w:after="240" w:line="276" w:lineRule="auto"/>
        <w:jc w:val="both"/>
        <w:rPr>
          <w:rFonts w:ascii="Arial" w:hAnsi="Arial" w:cs="Arial"/>
          <w:szCs w:val="20"/>
          <w:lang w:val="en-US"/>
        </w:rPr>
      </w:pPr>
      <w:r w:rsidRPr="00CA5DEA">
        <w:rPr>
          <w:rFonts w:ascii="Arial" w:hAnsi="Arial" w:cs="Arial"/>
          <w:szCs w:val="20"/>
          <w:lang w:val="en-US"/>
        </w:rPr>
        <w:t xml:space="preserve">The </w:t>
      </w:r>
      <w:r>
        <w:rPr>
          <w:rFonts w:ascii="Arial" w:hAnsi="Arial" w:cs="Arial"/>
          <w:szCs w:val="20"/>
          <w:lang w:val="en-US"/>
        </w:rPr>
        <w:t>KB</w:t>
      </w:r>
      <w:r w:rsidRPr="00CA5DEA">
        <w:rPr>
          <w:rFonts w:ascii="Arial" w:hAnsi="Arial" w:cs="Arial"/>
          <w:szCs w:val="20"/>
          <w:lang w:val="en-US"/>
        </w:rPr>
        <w:t xml:space="preserve"> will not exclude individuals or entities if those individuals or entities can demonstrate that there is no real risk of practices that could threaten transparency and distort competition between the bidders, and more generally, that this relationship has not influenced and will not influence their respective behavior in the context of this Tender.</w:t>
      </w:r>
    </w:p>
    <w:p w:rsidRPr="00CA5DEA" w:rsidR="00253D9D" w:rsidP="00CA5DEA" w:rsidRDefault="00CA5DEA" w14:paraId="24574052" w14:textId="79A1D5FF">
      <w:pPr>
        <w:spacing w:after="240" w:line="276" w:lineRule="auto"/>
        <w:jc w:val="both"/>
        <w:rPr>
          <w:rFonts w:ascii="Arial" w:hAnsi="Arial" w:cs="Arial"/>
          <w:szCs w:val="20"/>
          <w:lang w:val="en-US"/>
        </w:rPr>
      </w:pPr>
      <w:r w:rsidRPr="00CA5DEA">
        <w:rPr>
          <w:rFonts w:ascii="Arial" w:hAnsi="Arial" w:cs="Arial"/>
          <w:szCs w:val="20"/>
          <w:lang w:val="en-US"/>
        </w:rPr>
        <w:t>A bidder may not also act as a Third Party relied upon by another bidder. A Third Party may not guarantee multiple bidders with regard to the Suitability Requirements concerning financial and economic capacity in accordance with Article 2:403 sub f of the</w:t>
      </w:r>
      <w:r>
        <w:rPr>
          <w:rFonts w:ascii="Arial" w:hAnsi="Arial" w:cs="Arial"/>
          <w:szCs w:val="20"/>
          <w:lang w:val="en-US"/>
        </w:rPr>
        <w:t xml:space="preserve"> Dutch</w:t>
      </w:r>
      <w:r w:rsidRPr="00CA5DEA">
        <w:rPr>
          <w:rFonts w:ascii="Arial" w:hAnsi="Arial" w:cs="Arial"/>
          <w:szCs w:val="20"/>
          <w:lang w:val="en-US"/>
        </w:rPr>
        <w:t xml:space="preserve"> Civil Code.</w:t>
      </w:r>
      <w:r w:rsidRPr="00CA5DEA" w:rsidR="00253D9D">
        <w:rPr>
          <w:rFonts w:ascii="Arial" w:hAnsi="Arial" w:cs="Arial"/>
          <w:szCs w:val="20"/>
          <w:lang w:val="en-US"/>
        </w:rPr>
        <w:t xml:space="preserve">. </w:t>
      </w:r>
    </w:p>
    <w:p w:rsidRPr="00E72F40" w:rsidR="00D52A96" w:rsidP="00520F26" w:rsidRDefault="00E72F40" w14:paraId="48C8C581" w14:textId="4169FB1D">
      <w:pPr>
        <w:pStyle w:val="Lijstalinea"/>
        <w:numPr>
          <w:ilvl w:val="0"/>
          <w:numId w:val="1"/>
        </w:numPr>
        <w:spacing w:after="240" w:line="276" w:lineRule="auto"/>
        <w:jc w:val="both"/>
        <w:rPr>
          <w:rFonts w:ascii="Arial" w:hAnsi="Arial" w:cs="Arial"/>
          <w:szCs w:val="20"/>
          <w:lang w:val="en-US"/>
        </w:rPr>
      </w:pPr>
      <w:r w:rsidRPr="00E72F40">
        <w:rPr>
          <w:rFonts w:ascii="Arial" w:hAnsi="Arial" w:cs="Arial"/>
          <w:szCs w:val="20"/>
          <w:lang w:val="en-US"/>
        </w:rPr>
        <w:t>Inconsistencies, Ambiguities, or Deficiencies in the Submission</w:t>
      </w:r>
    </w:p>
    <w:p w:rsidRPr="00900DAC" w:rsidR="00D52A96" w:rsidP="00520F26" w:rsidRDefault="00900DAC" w14:paraId="45F91DE3" w14:textId="4A75599D">
      <w:pPr>
        <w:spacing w:after="240" w:line="276" w:lineRule="auto"/>
        <w:jc w:val="both"/>
        <w:rPr>
          <w:rFonts w:ascii="Arial" w:hAnsi="Arial" w:cs="Arial"/>
          <w:szCs w:val="20"/>
          <w:lang w:val="en-US"/>
        </w:rPr>
      </w:pPr>
      <w:r w:rsidRPr="00900DAC">
        <w:rPr>
          <w:rFonts w:ascii="Arial" w:hAnsi="Arial" w:cs="Arial"/>
          <w:szCs w:val="20"/>
          <w:lang w:val="en-US"/>
        </w:rPr>
        <w:t>The absence of requested information, declarations, and/or documents generally leads to exclusion. If there are inconsistencies, ambiguities, or deficiencies in a Submission that the organization considers to be an apparent and remediable omission, the organization reserves the right to request clarification and/or supplementation from the bidder. This clarification and/or supplementation must not result in a material change to the Submission. If, in the opinion of the organization, it does, then these clarifications and/or supplements will not be taken into consideration.</w:t>
      </w:r>
    </w:p>
    <w:p w:rsidRPr="0058650A" w:rsidR="00D52A96" w:rsidP="00520F26" w:rsidRDefault="00900DAC" w14:paraId="6C1723E5" w14:textId="2AE60572">
      <w:pPr>
        <w:pStyle w:val="Lijstalinea"/>
        <w:numPr>
          <w:ilvl w:val="0"/>
          <w:numId w:val="1"/>
        </w:numPr>
        <w:spacing w:after="240" w:line="276" w:lineRule="auto"/>
        <w:jc w:val="both"/>
        <w:rPr>
          <w:rFonts w:ascii="Arial" w:hAnsi="Arial" w:cs="Arial"/>
          <w:szCs w:val="20"/>
        </w:rPr>
      </w:pPr>
      <w:r w:rsidRPr="00900DAC">
        <w:rPr>
          <w:rFonts w:ascii="Arial" w:hAnsi="Arial" w:cs="Arial"/>
          <w:szCs w:val="20"/>
        </w:rPr>
        <w:t xml:space="preserve">Cooperation </w:t>
      </w:r>
      <w:proofErr w:type="spellStart"/>
      <w:r w:rsidRPr="00900DAC">
        <w:rPr>
          <w:rFonts w:ascii="Arial" w:hAnsi="Arial" w:cs="Arial"/>
          <w:szCs w:val="20"/>
        </w:rPr>
        <w:t>with</w:t>
      </w:r>
      <w:proofErr w:type="spellEnd"/>
      <w:r w:rsidRPr="00900DAC">
        <w:rPr>
          <w:rFonts w:ascii="Arial" w:hAnsi="Arial" w:cs="Arial"/>
          <w:szCs w:val="20"/>
        </w:rPr>
        <w:t xml:space="preserve"> </w:t>
      </w:r>
      <w:proofErr w:type="spellStart"/>
      <w:r w:rsidRPr="00900DAC">
        <w:rPr>
          <w:rFonts w:ascii="Arial" w:hAnsi="Arial" w:cs="Arial"/>
          <w:szCs w:val="20"/>
        </w:rPr>
        <w:t>Investigation</w:t>
      </w:r>
      <w:proofErr w:type="spellEnd"/>
    </w:p>
    <w:p w:rsidRPr="00900DAC" w:rsidR="00900DAC" w:rsidP="00900DAC" w:rsidRDefault="00900DAC" w14:paraId="42377219" w14:textId="77BDBCC1">
      <w:pPr>
        <w:spacing w:line="276" w:lineRule="auto"/>
        <w:jc w:val="both"/>
        <w:rPr>
          <w:rFonts w:ascii="Arial" w:hAnsi="Arial" w:cs="Arial"/>
          <w:szCs w:val="20"/>
          <w:lang w:val="en-US"/>
        </w:rPr>
      </w:pPr>
      <w:r w:rsidRPr="00900DAC">
        <w:rPr>
          <w:rFonts w:ascii="Arial" w:hAnsi="Arial" w:cs="Arial"/>
          <w:szCs w:val="20"/>
          <w:lang w:val="en-US"/>
        </w:rPr>
        <w:t xml:space="preserve">The </w:t>
      </w:r>
      <w:r>
        <w:rPr>
          <w:rFonts w:ascii="Arial" w:hAnsi="Arial" w:cs="Arial"/>
          <w:szCs w:val="20"/>
          <w:lang w:val="en-US"/>
        </w:rPr>
        <w:t>KB</w:t>
      </w:r>
      <w:r w:rsidRPr="00900DAC">
        <w:rPr>
          <w:rFonts w:ascii="Arial" w:hAnsi="Arial" w:cs="Arial"/>
          <w:szCs w:val="20"/>
          <w:lang w:val="en-US"/>
        </w:rPr>
        <w:t xml:space="preserve"> reserves the right to verify the accuracy of the statements, documents, and information provided by the bidder, as well as the financial and economic capacity, expertise, and/or integrity of the bidder (further). The bidder is required to fully cooperate with such (further) investigation by the organization (at any stage of the Tender, and even after the award of the Contract).</w:t>
      </w:r>
    </w:p>
    <w:p w:rsidRPr="0058650A" w:rsidR="00521F7E" w:rsidRDefault="00521F7E" w14:paraId="36861945" w14:textId="7D0EE1B2">
      <w:pPr>
        <w:rPr>
          <w:rFonts w:ascii="Arial" w:hAnsi="Arial" w:cs="Arial"/>
          <w:szCs w:val="20"/>
        </w:rPr>
      </w:pPr>
    </w:p>
    <w:p w:rsidRPr="0058650A" w:rsidR="00D52A96" w:rsidP="00520F26" w:rsidRDefault="008D68D3" w14:paraId="1912869A" w14:textId="08916DC7">
      <w:pPr>
        <w:pStyle w:val="Lijstalinea"/>
        <w:numPr>
          <w:ilvl w:val="0"/>
          <w:numId w:val="1"/>
        </w:numPr>
        <w:spacing w:after="240" w:line="276" w:lineRule="auto"/>
        <w:jc w:val="both"/>
        <w:rPr>
          <w:rFonts w:ascii="Arial" w:hAnsi="Arial" w:cs="Arial"/>
          <w:szCs w:val="20"/>
        </w:rPr>
      </w:pPr>
      <w:proofErr w:type="spellStart"/>
      <w:r w:rsidRPr="008D68D3">
        <w:rPr>
          <w:rFonts w:ascii="Arial" w:hAnsi="Arial" w:cs="Arial"/>
          <w:szCs w:val="20"/>
        </w:rPr>
        <w:t>Cost</w:t>
      </w:r>
      <w:proofErr w:type="spellEnd"/>
      <w:r w:rsidRPr="008D68D3">
        <w:rPr>
          <w:rFonts w:ascii="Arial" w:hAnsi="Arial" w:cs="Arial"/>
          <w:szCs w:val="20"/>
        </w:rPr>
        <w:t xml:space="preserve"> </w:t>
      </w:r>
      <w:proofErr w:type="spellStart"/>
      <w:r w:rsidRPr="008D68D3">
        <w:rPr>
          <w:rFonts w:ascii="Arial" w:hAnsi="Arial" w:cs="Arial"/>
          <w:szCs w:val="20"/>
        </w:rPr>
        <w:t>Reimbursement</w:t>
      </w:r>
      <w:proofErr w:type="spellEnd"/>
    </w:p>
    <w:p w:rsidRPr="008D68D3" w:rsidR="00D52A96" w:rsidP="00520F26" w:rsidRDefault="008D68D3" w14:paraId="40C00A91" w14:textId="77CB77E5">
      <w:pPr>
        <w:spacing w:after="240" w:line="276" w:lineRule="auto"/>
        <w:jc w:val="both"/>
        <w:rPr>
          <w:rFonts w:ascii="Arial" w:hAnsi="Arial" w:cs="Arial"/>
          <w:szCs w:val="20"/>
          <w:lang w:val="en-US"/>
        </w:rPr>
      </w:pPr>
      <w:r w:rsidRPr="008D68D3">
        <w:rPr>
          <w:rFonts w:ascii="Arial" w:hAnsi="Arial" w:cs="Arial"/>
          <w:szCs w:val="20"/>
          <w:lang w:val="en-US"/>
        </w:rPr>
        <w:t xml:space="preserve">Bidders are not entitled to reimbursement of costs related to this Tender. The </w:t>
      </w:r>
      <w:r>
        <w:rPr>
          <w:rFonts w:ascii="Arial" w:hAnsi="Arial" w:cs="Arial"/>
          <w:szCs w:val="20"/>
          <w:lang w:val="en-US"/>
        </w:rPr>
        <w:t>KB</w:t>
      </w:r>
      <w:r w:rsidRPr="008D68D3">
        <w:rPr>
          <w:rFonts w:ascii="Arial" w:hAnsi="Arial" w:cs="Arial"/>
          <w:szCs w:val="20"/>
          <w:lang w:val="en-US"/>
        </w:rPr>
        <w:t xml:space="preserve"> has carefully considered this provision based on guideline 3.8a of the Proportionality Guide and the Tender Cost Reimbursement Guide of October 2018. In the event of (unexpected) withdrawal of the Tender for reasons not attributable to the bidders, the organization will reconsider a tender cost reimbursement.</w:t>
      </w:r>
    </w:p>
    <w:p w:rsidRPr="0058650A" w:rsidR="00D52A96" w:rsidP="00520F26" w:rsidRDefault="00D0690B" w14:paraId="48FC84E8" w14:textId="6695E857">
      <w:pPr>
        <w:pStyle w:val="Lijstalinea"/>
        <w:numPr>
          <w:ilvl w:val="0"/>
          <w:numId w:val="1"/>
        </w:numPr>
        <w:spacing w:after="240" w:line="276" w:lineRule="auto"/>
        <w:jc w:val="both"/>
        <w:rPr>
          <w:rFonts w:ascii="Arial" w:hAnsi="Arial" w:cs="Arial"/>
          <w:szCs w:val="20"/>
        </w:rPr>
      </w:pPr>
      <w:r w:rsidRPr="00D0690B">
        <w:rPr>
          <w:rFonts w:ascii="Arial" w:hAnsi="Arial" w:cs="Arial"/>
          <w:szCs w:val="20"/>
        </w:rPr>
        <w:t xml:space="preserve">Status of Information in </w:t>
      </w:r>
      <w:proofErr w:type="spellStart"/>
      <w:r w:rsidRPr="00D0690B">
        <w:rPr>
          <w:rFonts w:ascii="Arial" w:hAnsi="Arial" w:cs="Arial"/>
          <w:szCs w:val="20"/>
        </w:rPr>
        <w:t>the</w:t>
      </w:r>
      <w:proofErr w:type="spellEnd"/>
      <w:r w:rsidRPr="00D0690B">
        <w:rPr>
          <w:rFonts w:ascii="Arial" w:hAnsi="Arial" w:cs="Arial"/>
          <w:szCs w:val="20"/>
        </w:rPr>
        <w:t xml:space="preserve"> Tender </w:t>
      </w:r>
      <w:proofErr w:type="spellStart"/>
      <w:r w:rsidRPr="00D0690B">
        <w:rPr>
          <w:rFonts w:ascii="Arial" w:hAnsi="Arial" w:cs="Arial"/>
          <w:szCs w:val="20"/>
        </w:rPr>
        <w:t>Documents</w:t>
      </w:r>
      <w:proofErr w:type="spellEnd"/>
    </w:p>
    <w:p w:rsidRPr="00D0690B" w:rsidR="00D52A96" w:rsidP="00520F26" w:rsidRDefault="00D0690B" w14:paraId="326D3538" w14:textId="0CF69CEA">
      <w:pPr>
        <w:spacing w:after="240" w:line="276" w:lineRule="auto"/>
        <w:jc w:val="both"/>
        <w:rPr>
          <w:rFonts w:ascii="Arial" w:hAnsi="Arial" w:cs="Arial"/>
          <w:szCs w:val="20"/>
          <w:lang w:val="en-US"/>
        </w:rPr>
      </w:pPr>
      <w:r w:rsidRPr="00D0690B">
        <w:rPr>
          <w:rFonts w:ascii="Arial" w:hAnsi="Arial" w:cs="Arial"/>
          <w:szCs w:val="20"/>
          <w:lang w:val="en-US"/>
        </w:rPr>
        <w:t xml:space="preserve">Without prejudice to the other reservations contained in the Tender documents, bidders can only derive rights regarding the Tender from the information included in the Tender documents. The </w:t>
      </w:r>
      <w:r>
        <w:rPr>
          <w:rFonts w:ascii="Arial" w:hAnsi="Arial" w:cs="Arial"/>
          <w:szCs w:val="20"/>
          <w:lang w:val="en-US"/>
        </w:rPr>
        <w:t>KB</w:t>
      </w:r>
      <w:r w:rsidRPr="00D0690B">
        <w:rPr>
          <w:rFonts w:ascii="Arial" w:hAnsi="Arial" w:cs="Arial"/>
          <w:szCs w:val="20"/>
          <w:lang w:val="en-US"/>
        </w:rPr>
        <w:t xml:space="preserve"> is not liable for the inaccuracy and/or incompleteness of information </w:t>
      </w:r>
      <w:r w:rsidRPr="00D0690B">
        <w:rPr>
          <w:rFonts w:ascii="Arial" w:hAnsi="Arial" w:cs="Arial"/>
          <w:szCs w:val="20"/>
          <w:lang w:val="en-US"/>
        </w:rPr>
        <w:lastRenderedPageBreak/>
        <w:t>about the Contract obtained by the bidder through other channels. Bidders must inform themselves, where they deem necessary or desirable, at their own expense and risk, about the technical aspects, the public law framework, and anything else they consider relevant in connection with their participation in the Tender.</w:t>
      </w:r>
      <w:r w:rsidRPr="00D0690B" w:rsidR="00D52A96">
        <w:rPr>
          <w:rFonts w:ascii="Arial" w:hAnsi="Arial" w:cs="Arial"/>
          <w:szCs w:val="20"/>
          <w:lang w:val="en-US"/>
        </w:rPr>
        <w:t xml:space="preserve"> </w:t>
      </w:r>
    </w:p>
    <w:p w:rsidRPr="0058650A" w:rsidR="00D52A96" w:rsidP="00520F26" w:rsidRDefault="00D0690B" w14:paraId="202E7C8F" w14:textId="0CAAEBFF">
      <w:pPr>
        <w:pStyle w:val="Lijstalinea"/>
        <w:numPr>
          <w:ilvl w:val="0"/>
          <w:numId w:val="1"/>
        </w:numPr>
        <w:spacing w:after="240" w:line="276" w:lineRule="auto"/>
        <w:jc w:val="both"/>
        <w:rPr>
          <w:rFonts w:ascii="Arial" w:hAnsi="Arial" w:cs="Arial"/>
          <w:szCs w:val="20"/>
        </w:rPr>
      </w:pPr>
      <w:r>
        <w:rPr>
          <w:rFonts w:ascii="Arial" w:hAnsi="Arial" w:cs="Arial"/>
          <w:szCs w:val="20"/>
        </w:rPr>
        <w:t xml:space="preserve">Brand </w:t>
      </w:r>
      <w:proofErr w:type="spellStart"/>
      <w:r>
        <w:rPr>
          <w:rFonts w:ascii="Arial" w:hAnsi="Arial" w:cs="Arial"/>
          <w:szCs w:val="20"/>
        </w:rPr>
        <w:t>names</w:t>
      </w:r>
      <w:proofErr w:type="spellEnd"/>
    </w:p>
    <w:p w:rsidRPr="008A0798" w:rsidR="00464404" w:rsidP="00520F26" w:rsidRDefault="008A0798" w14:paraId="20590215" w14:textId="43FFAB3C">
      <w:pPr>
        <w:spacing w:after="240" w:line="276" w:lineRule="auto"/>
        <w:jc w:val="both"/>
        <w:rPr>
          <w:rFonts w:ascii="Arial" w:hAnsi="Arial" w:cs="Arial"/>
          <w:szCs w:val="20"/>
          <w:lang w:val="en-US"/>
        </w:rPr>
      </w:pPr>
      <w:r w:rsidRPr="008A0798">
        <w:rPr>
          <w:rFonts w:ascii="Arial" w:hAnsi="Arial" w:cs="Arial"/>
          <w:szCs w:val="20"/>
          <w:lang w:val="en-US"/>
        </w:rPr>
        <w:t>If the Tender documents refer to a specific brand, origin, particular method, reference to a brand, patent, type, origin, or production in connection with technical specifications, this is only intended as an example. In such cases, the bidder must read the mention or reference as including the words "or equivalent," if not explicitly stated.</w:t>
      </w:r>
      <w:r w:rsidRPr="008A0798" w:rsidR="007F1359">
        <w:rPr>
          <w:rFonts w:ascii="Arial" w:hAnsi="Arial" w:cs="Arial"/>
          <w:szCs w:val="20"/>
          <w:lang w:val="en-US"/>
        </w:rPr>
        <w:t xml:space="preserve"> </w:t>
      </w:r>
    </w:p>
    <w:p w:rsidRPr="008A0798" w:rsidR="00464404" w:rsidP="00520F26" w:rsidRDefault="008A0798" w14:paraId="030B42D7" w14:textId="43E226F8">
      <w:pPr>
        <w:pStyle w:val="Lijstalinea"/>
        <w:numPr>
          <w:ilvl w:val="0"/>
          <w:numId w:val="1"/>
        </w:numPr>
        <w:spacing w:after="240" w:line="276" w:lineRule="auto"/>
        <w:jc w:val="both"/>
        <w:rPr>
          <w:rFonts w:ascii="Arial" w:hAnsi="Arial" w:cs="Arial"/>
          <w:szCs w:val="20"/>
          <w:lang w:val="en-US"/>
        </w:rPr>
      </w:pPr>
      <w:r w:rsidRPr="008A0798">
        <w:rPr>
          <w:rFonts w:ascii="Arial" w:hAnsi="Arial" w:cs="Arial"/>
          <w:szCs w:val="20"/>
          <w:lang w:val="en-US"/>
        </w:rPr>
        <w:t>Inconsistencies, Ambiguities, or Deficiencies in the Tender Documents</w:t>
      </w:r>
    </w:p>
    <w:p w:rsidR="00D753BE" w:rsidP="00520F26" w:rsidRDefault="008A0798" w14:paraId="13DCA2B0" w14:textId="2E720508">
      <w:pPr>
        <w:spacing w:after="240" w:line="276" w:lineRule="auto"/>
        <w:jc w:val="both"/>
        <w:rPr>
          <w:rFonts w:ascii="Arial" w:hAnsi="Arial" w:cs="Arial"/>
          <w:szCs w:val="20"/>
          <w:lang w:val="en-US"/>
        </w:rPr>
      </w:pPr>
      <w:r w:rsidRPr="008A0798">
        <w:rPr>
          <w:rFonts w:ascii="Arial" w:hAnsi="Arial" w:cs="Arial"/>
          <w:szCs w:val="20"/>
          <w:lang w:val="en-US"/>
        </w:rPr>
        <w:t xml:space="preserve">If there are inconsistencies, ambiguities, or deficiencies in the Tender documents, the Interested Party must report this as soon as possible – in any case before the closing date of the last round of questions. The </w:t>
      </w:r>
      <w:r w:rsidR="00D753BE">
        <w:rPr>
          <w:rFonts w:ascii="Arial" w:hAnsi="Arial" w:cs="Arial"/>
          <w:szCs w:val="20"/>
          <w:lang w:val="en-US"/>
        </w:rPr>
        <w:t>KB</w:t>
      </w:r>
      <w:r w:rsidRPr="008A0798">
        <w:rPr>
          <w:rFonts w:ascii="Arial" w:hAnsi="Arial" w:cs="Arial"/>
          <w:szCs w:val="20"/>
          <w:lang w:val="en-US"/>
        </w:rPr>
        <w:t xml:space="preserve"> expects a proactive attitude from Interested Parties so that the organization can effectively correct the Tender documents.</w:t>
      </w:r>
      <w:r w:rsidR="00D753BE">
        <w:rPr>
          <w:rFonts w:ascii="Arial" w:hAnsi="Arial" w:cs="Arial"/>
          <w:szCs w:val="20"/>
          <w:lang w:val="en-US"/>
        </w:rPr>
        <w:t xml:space="preserve"> </w:t>
      </w:r>
      <w:r w:rsidRPr="008A0798">
        <w:rPr>
          <w:rFonts w:ascii="Arial" w:hAnsi="Arial" w:cs="Arial"/>
          <w:szCs w:val="20"/>
          <w:lang w:val="en-US"/>
        </w:rPr>
        <w:t xml:space="preserve">If the Interested Party does not report inconsistencies, ambiguities, or deficiencies in a timely manner, the right to complain and/or raise objections about this later will be forfeited. </w:t>
      </w:r>
    </w:p>
    <w:p w:rsidRPr="008A0798" w:rsidR="00464404" w:rsidP="00520F26" w:rsidRDefault="008A0798" w14:paraId="672ED146" w14:textId="7024E12E">
      <w:pPr>
        <w:spacing w:after="240" w:line="276" w:lineRule="auto"/>
        <w:jc w:val="both"/>
        <w:rPr>
          <w:rFonts w:ascii="Arial" w:hAnsi="Arial" w:cs="Arial"/>
          <w:szCs w:val="20"/>
          <w:lang w:val="en-US"/>
        </w:rPr>
      </w:pPr>
      <w:r w:rsidRPr="008A0798">
        <w:rPr>
          <w:rFonts w:ascii="Arial" w:hAnsi="Arial" w:cs="Arial"/>
          <w:szCs w:val="20"/>
          <w:lang w:val="en-US"/>
        </w:rPr>
        <w:t xml:space="preserve">If the Interested Party still believes there are inconsistencies, ambiguities, or deficiencies after reviewing the Notes of Information, they must initiate preliminary injunction proceedings at least five calendar days before the closing date for submission of the bid by serving a summons on the </w:t>
      </w:r>
      <w:r w:rsidR="00D753BE">
        <w:rPr>
          <w:rFonts w:ascii="Arial" w:hAnsi="Arial" w:cs="Arial"/>
          <w:szCs w:val="20"/>
          <w:lang w:val="en-US"/>
        </w:rPr>
        <w:t>KB</w:t>
      </w:r>
      <w:r w:rsidRPr="008A0798" w:rsidR="00464404">
        <w:rPr>
          <w:rFonts w:ascii="Arial" w:hAnsi="Arial" w:cs="Arial"/>
          <w:szCs w:val="20"/>
          <w:lang w:val="en-US"/>
        </w:rPr>
        <w:t>.</w:t>
      </w:r>
    </w:p>
    <w:p w:rsidRPr="0058650A" w:rsidR="00521F7E" w:rsidRDefault="00521F7E" w14:paraId="25DFB08B" w14:textId="22BCA94B">
      <w:pPr>
        <w:rPr>
          <w:rFonts w:ascii="Arial" w:hAnsi="Arial" w:cs="Arial"/>
          <w:szCs w:val="20"/>
        </w:rPr>
      </w:pPr>
    </w:p>
    <w:p w:rsidRPr="0058650A" w:rsidR="00464404" w:rsidP="00520F26" w:rsidRDefault="00176AF7" w14:paraId="792F4464" w14:textId="6BD8C84E">
      <w:pPr>
        <w:pStyle w:val="Lijstalinea"/>
        <w:numPr>
          <w:ilvl w:val="0"/>
          <w:numId w:val="1"/>
        </w:numPr>
        <w:spacing w:after="240" w:line="276" w:lineRule="auto"/>
        <w:jc w:val="both"/>
        <w:rPr>
          <w:rFonts w:ascii="Arial" w:hAnsi="Arial" w:cs="Arial"/>
          <w:szCs w:val="20"/>
        </w:rPr>
      </w:pPr>
      <w:proofErr w:type="spellStart"/>
      <w:r w:rsidRPr="00176AF7">
        <w:rPr>
          <w:rFonts w:ascii="Arial" w:hAnsi="Arial" w:cs="Arial"/>
          <w:szCs w:val="20"/>
        </w:rPr>
        <w:t>Exclusion</w:t>
      </w:r>
      <w:proofErr w:type="spellEnd"/>
      <w:r w:rsidRPr="00176AF7">
        <w:rPr>
          <w:rFonts w:ascii="Arial" w:hAnsi="Arial" w:cs="Arial"/>
          <w:szCs w:val="20"/>
        </w:rPr>
        <w:t xml:space="preserve"> of Bidders</w:t>
      </w:r>
    </w:p>
    <w:p w:rsidRPr="00176AF7" w:rsidR="004B1EE9" w:rsidP="00520F26" w:rsidRDefault="00176AF7" w14:paraId="0FC2F1A5" w14:textId="27EB7AC9">
      <w:pPr>
        <w:spacing w:after="240" w:line="276" w:lineRule="auto"/>
        <w:jc w:val="both"/>
        <w:rPr>
          <w:rFonts w:ascii="Arial" w:hAnsi="Arial" w:cs="Arial"/>
          <w:szCs w:val="20"/>
          <w:lang w:val="en-US"/>
        </w:rPr>
      </w:pPr>
      <w:r w:rsidRPr="00176AF7">
        <w:rPr>
          <w:rFonts w:ascii="Arial" w:hAnsi="Arial" w:cs="Arial"/>
          <w:szCs w:val="20"/>
          <w:lang w:val="en-US"/>
        </w:rPr>
        <w:t>At the time of (</w:t>
      </w:r>
      <w:proofErr w:type="spellStart"/>
      <w:r w:rsidRPr="00176AF7">
        <w:rPr>
          <w:rFonts w:ascii="Arial" w:hAnsi="Arial" w:cs="Arial"/>
          <w:szCs w:val="20"/>
          <w:lang w:val="en-US"/>
        </w:rPr>
        <w:t>i</w:t>
      </w:r>
      <w:proofErr w:type="spellEnd"/>
      <w:r w:rsidRPr="00176AF7">
        <w:rPr>
          <w:rFonts w:ascii="Arial" w:hAnsi="Arial" w:cs="Arial"/>
          <w:szCs w:val="20"/>
          <w:lang w:val="en-US"/>
        </w:rPr>
        <w:t>) submitting a bid and (ii) the award, the bidder must be able to demonstrate that the Exclusion Grounds do not apply to them, that they meet the Suitability Requirements, and meet/can meet the requirements of the Program of Requirements. Failure to do so generally leads to the bidder's exclusion from further participation in the Tender and disqualification from the award of the Contract.</w:t>
      </w:r>
      <w:r w:rsidRPr="00176AF7" w:rsidR="004B1EE9">
        <w:rPr>
          <w:rFonts w:ascii="Arial" w:hAnsi="Arial" w:cs="Arial"/>
          <w:szCs w:val="20"/>
          <w:lang w:val="en-US"/>
        </w:rPr>
        <w:t xml:space="preserve"> </w:t>
      </w:r>
    </w:p>
    <w:p w:rsidRPr="00C272CD" w:rsidR="004B1EE9" w:rsidP="00520F26" w:rsidRDefault="00C272CD" w14:paraId="44BCF360" w14:textId="75C627E2">
      <w:pPr>
        <w:spacing w:after="240" w:line="276" w:lineRule="auto"/>
        <w:jc w:val="both"/>
        <w:rPr>
          <w:rFonts w:ascii="Arial" w:hAnsi="Arial" w:cs="Arial"/>
          <w:szCs w:val="20"/>
          <w:lang w:val="en-US"/>
        </w:rPr>
      </w:pPr>
      <w:r w:rsidRPr="00C272CD">
        <w:rPr>
          <w:rFonts w:ascii="Arial" w:hAnsi="Arial" w:cs="Arial"/>
          <w:szCs w:val="20"/>
          <w:lang w:val="en-US"/>
        </w:rPr>
        <w:t xml:space="preserve">If, during the Tender, an Exclusion Ground becomes applicable to the bidder, or if the bidder no longer meets the Suitability Requirements or the requirements of the Program of Requirements, the bidder must immediately notify the </w:t>
      </w:r>
      <w:r w:rsidR="00A019A6">
        <w:rPr>
          <w:rFonts w:ascii="Arial" w:hAnsi="Arial" w:cs="Arial"/>
          <w:szCs w:val="20"/>
          <w:lang w:val="en-US"/>
        </w:rPr>
        <w:t>KB</w:t>
      </w:r>
      <w:r w:rsidRPr="00C272CD">
        <w:rPr>
          <w:rFonts w:ascii="Arial" w:hAnsi="Arial" w:cs="Arial"/>
          <w:szCs w:val="20"/>
          <w:lang w:val="en-US"/>
        </w:rPr>
        <w:t xml:space="preserve"> in writing. If it is found at any time that the bidder has provided incorrect information about this, they will generally be excluded from further participation in the Tender.</w:t>
      </w:r>
    </w:p>
    <w:p w:rsidRPr="00A019A6" w:rsidR="004B1EE9" w:rsidP="00520F26" w:rsidRDefault="00A019A6" w14:paraId="1FD178B4" w14:textId="51DFB0C2">
      <w:pPr>
        <w:spacing w:after="240" w:line="276" w:lineRule="auto"/>
        <w:jc w:val="both"/>
        <w:rPr>
          <w:rFonts w:ascii="Arial" w:hAnsi="Arial" w:cs="Arial"/>
          <w:szCs w:val="20"/>
          <w:lang w:val="en-US"/>
        </w:rPr>
      </w:pPr>
      <w:r w:rsidRPr="00A019A6">
        <w:rPr>
          <w:rFonts w:ascii="Arial" w:hAnsi="Arial" w:cs="Arial"/>
          <w:szCs w:val="20"/>
          <w:lang w:val="en-US"/>
        </w:rPr>
        <w:t xml:space="preserve">The </w:t>
      </w:r>
      <w:r>
        <w:rPr>
          <w:rFonts w:ascii="Arial" w:hAnsi="Arial" w:cs="Arial"/>
          <w:szCs w:val="20"/>
          <w:lang w:val="en-US"/>
        </w:rPr>
        <w:t>KB</w:t>
      </w:r>
      <w:r w:rsidRPr="00A019A6">
        <w:rPr>
          <w:rFonts w:ascii="Arial" w:hAnsi="Arial" w:cs="Arial"/>
          <w:szCs w:val="20"/>
          <w:lang w:val="en-US"/>
        </w:rPr>
        <w:t xml:space="preserve"> is entitled to exclude the bidder from the Tender:</w:t>
      </w:r>
    </w:p>
    <w:p w:rsidRPr="00726B14" w:rsidR="004B1EE9" w:rsidP="00520F26" w:rsidRDefault="00726B14" w14:paraId="4210482A" w14:textId="54C855D3">
      <w:pPr>
        <w:numPr>
          <w:ilvl w:val="0"/>
          <w:numId w:val="3"/>
        </w:numPr>
        <w:spacing w:after="240" w:line="276" w:lineRule="auto"/>
        <w:jc w:val="both"/>
        <w:rPr>
          <w:rFonts w:ascii="Arial" w:hAnsi="Arial" w:cs="Arial"/>
          <w:szCs w:val="20"/>
          <w:lang w:val="en-US"/>
        </w:rPr>
      </w:pPr>
      <w:r w:rsidRPr="00726B14">
        <w:rPr>
          <w:rFonts w:ascii="Arial" w:hAnsi="Arial" w:cs="Arial"/>
          <w:szCs w:val="20"/>
          <w:lang w:val="en-US"/>
        </w:rPr>
        <w:t xml:space="preserve">If the bidder is, or has been, involved on the side of the </w:t>
      </w:r>
      <w:r>
        <w:rPr>
          <w:rFonts w:ascii="Arial" w:hAnsi="Arial" w:cs="Arial"/>
          <w:szCs w:val="20"/>
          <w:lang w:val="en-US"/>
        </w:rPr>
        <w:t>KB</w:t>
      </w:r>
      <w:r w:rsidRPr="00726B14">
        <w:rPr>
          <w:rFonts w:ascii="Arial" w:hAnsi="Arial" w:cs="Arial"/>
          <w:szCs w:val="20"/>
          <w:lang w:val="en-US"/>
        </w:rPr>
        <w:t xml:space="preserve"> in the preparation of the Tender, or</w:t>
      </w:r>
    </w:p>
    <w:p w:rsidRPr="00726B14" w:rsidR="004B1EE9" w:rsidP="00520F26" w:rsidRDefault="00726B14" w14:paraId="05AD44A2" w14:textId="5E9C380C">
      <w:pPr>
        <w:numPr>
          <w:ilvl w:val="0"/>
          <w:numId w:val="3"/>
        </w:numPr>
        <w:spacing w:after="240" w:line="276" w:lineRule="auto"/>
        <w:jc w:val="both"/>
        <w:rPr>
          <w:rFonts w:ascii="Arial" w:hAnsi="Arial" w:cs="Arial"/>
          <w:szCs w:val="20"/>
          <w:lang w:val="en-US"/>
        </w:rPr>
      </w:pPr>
      <w:r w:rsidRPr="00726B14">
        <w:rPr>
          <w:rFonts w:ascii="Arial" w:hAnsi="Arial" w:cs="Arial"/>
          <w:szCs w:val="20"/>
          <w:lang w:val="en-US"/>
        </w:rPr>
        <w:lastRenderedPageBreak/>
        <w:t>If the bidder employs companies, advisors, employees, and/or other (legal) persons who are or have been involved in the Tender.</w:t>
      </w:r>
      <w:r w:rsidRPr="00726B14" w:rsidR="004B1EE9">
        <w:rPr>
          <w:rFonts w:ascii="Arial" w:hAnsi="Arial" w:cs="Arial"/>
          <w:szCs w:val="20"/>
          <w:lang w:val="en-US"/>
        </w:rPr>
        <w:t xml:space="preserve"> </w:t>
      </w:r>
    </w:p>
    <w:p w:rsidRPr="00726B14" w:rsidR="00FE2EC8" w:rsidP="00520F26" w:rsidRDefault="00726B14" w14:paraId="68E0AC3B" w14:textId="2B06787F">
      <w:pPr>
        <w:spacing w:after="240" w:line="276" w:lineRule="auto"/>
        <w:jc w:val="both"/>
        <w:rPr>
          <w:rFonts w:ascii="Arial" w:hAnsi="Arial" w:cs="Arial"/>
          <w:szCs w:val="20"/>
          <w:lang w:val="en-US"/>
        </w:rPr>
      </w:pPr>
      <w:r w:rsidRPr="00726B14">
        <w:rPr>
          <w:rFonts w:ascii="Arial" w:hAnsi="Arial" w:cs="Arial"/>
          <w:szCs w:val="20"/>
          <w:lang w:val="en-US"/>
        </w:rPr>
        <w:t xml:space="preserve">The same applies if (legal) persons from the bidder's group have such involvement. The </w:t>
      </w:r>
      <w:r>
        <w:rPr>
          <w:rFonts w:ascii="Arial" w:hAnsi="Arial" w:cs="Arial"/>
          <w:szCs w:val="20"/>
          <w:lang w:val="en-US"/>
        </w:rPr>
        <w:t>KB</w:t>
      </w:r>
      <w:r w:rsidRPr="00726B14">
        <w:rPr>
          <w:rFonts w:ascii="Arial" w:hAnsi="Arial" w:cs="Arial"/>
          <w:szCs w:val="20"/>
          <w:lang w:val="en-US"/>
        </w:rPr>
        <w:t xml:space="preserve"> will not exclude the bidder if the bidder demonstrates that, under the circumstances of the specific case, competition cannot be distorted by the said involvement.</w:t>
      </w:r>
      <w:bookmarkStart w:name="_3s49zyc" w:colFirst="0" w:colLast="0" w:id="1"/>
      <w:bookmarkEnd w:id="1"/>
    </w:p>
    <w:p w:rsidRPr="00876F0B" w:rsidR="004B1EE9" w:rsidP="00520F26" w:rsidRDefault="004B1EE9" w14:paraId="1263CCDC" w14:textId="353FB00F">
      <w:pPr>
        <w:pStyle w:val="Lijstalinea"/>
        <w:numPr>
          <w:ilvl w:val="0"/>
          <w:numId w:val="1"/>
        </w:numPr>
        <w:spacing w:after="240" w:line="276" w:lineRule="auto"/>
        <w:jc w:val="both"/>
        <w:rPr>
          <w:rFonts w:ascii="Arial" w:hAnsi="Arial" w:eastAsia="Raleway" w:cs="Arial"/>
          <w:b/>
          <w:color w:val="009FDA"/>
          <w:szCs w:val="20"/>
          <w:lang w:val="en-US"/>
        </w:rPr>
      </w:pPr>
      <w:r w:rsidRPr="00726B14">
        <w:rPr>
          <w:rFonts w:ascii="Arial" w:hAnsi="Arial" w:cs="Arial"/>
          <w:szCs w:val="20"/>
          <w:lang w:val="en-US"/>
        </w:rPr>
        <w:t xml:space="preserve"> </w:t>
      </w:r>
      <w:r w:rsidRPr="00876F0B" w:rsidR="00876F0B">
        <w:rPr>
          <w:rFonts w:ascii="Arial" w:hAnsi="Arial" w:cs="Arial"/>
          <w:szCs w:val="20"/>
          <w:lang w:val="en-US"/>
        </w:rPr>
        <w:t>Exclusion due to Cessation of Business Activities or Takeover</w:t>
      </w:r>
    </w:p>
    <w:p w:rsidRPr="00876F0B" w:rsidR="004B1EE9" w:rsidP="00520F26" w:rsidRDefault="00876F0B" w14:paraId="19B6DE2E" w14:textId="49F86A83">
      <w:pPr>
        <w:spacing w:after="240" w:line="276" w:lineRule="auto"/>
        <w:jc w:val="both"/>
        <w:rPr>
          <w:rFonts w:ascii="Arial" w:hAnsi="Arial" w:cs="Arial"/>
          <w:szCs w:val="20"/>
          <w:lang w:val="en-US"/>
        </w:rPr>
      </w:pPr>
      <w:r w:rsidRPr="00876F0B">
        <w:rPr>
          <w:rFonts w:ascii="Arial" w:hAnsi="Arial" w:cs="Arial"/>
          <w:szCs w:val="20"/>
          <w:lang w:val="en-US"/>
        </w:rPr>
        <w:t xml:space="preserve">If a bidder or a consortium must cease the business activities relevant to this Tender during the Tender, or if the company is taken over, the bidder must immediately inform the </w:t>
      </w:r>
      <w:r>
        <w:rPr>
          <w:rFonts w:ascii="Arial" w:hAnsi="Arial" w:cs="Arial"/>
          <w:szCs w:val="20"/>
          <w:lang w:val="en-US"/>
        </w:rPr>
        <w:t>KB</w:t>
      </w:r>
      <w:r w:rsidRPr="00876F0B">
        <w:rPr>
          <w:rFonts w:ascii="Arial" w:hAnsi="Arial" w:cs="Arial"/>
          <w:szCs w:val="20"/>
          <w:lang w:val="en-US"/>
        </w:rPr>
        <w:t xml:space="preserve">. In that case, the </w:t>
      </w:r>
      <w:r>
        <w:rPr>
          <w:rFonts w:ascii="Arial" w:hAnsi="Arial" w:cs="Arial"/>
          <w:szCs w:val="20"/>
          <w:lang w:val="en-US"/>
        </w:rPr>
        <w:t>KB</w:t>
      </w:r>
      <w:r w:rsidRPr="00876F0B">
        <w:rPr>
          <w:rFonts w:ascii="Arial" w:hAnsi="Arial" w:cs="Arial"/>
          <w:szCs w:val="20"/>
          <w:lang w:val="en-US"/>
        </w:rPr>
        <w:t xml:space="preserve"> reserves the right to exclude this bidder from participation in the Tender.</w:t>
      </w:r>
    </w:p>
    <w:p w:rsidRPr="004B169D" w:rsidR="004B1EE9" w:rsidP="00520F26" w:rsidRDefault="004B169D" w14:paraId="17763E6A" w14:textId="3DEED80E">
      <w:pPr>
        <w:pStyle w:val="Lijstalinea"/>
        <w:numPr>
          <w:ilvl w:val="0"/>
          <w:numId w:val="1"/>
        </w:numPr>
        <w:spacing w:after="240" w:line="276" w:lineRule="auto"/>
        <w:jc w:val="both"/>
        <w:rPr>
          <w:rFonts w:ascii="Arial" w:hAnsi="Arial" w:cs="Arial"/>
          <w:szCs w:val="20"/>
          <w:lang w:val="en-US"/>
        </w:rPr>
      </w:pPr>
      <w:bookmarkStart w:name="_36ei31r" w:colFirst="0" w:colLast="0" w:id="2"/>
      <w:bookmarkEnd w:id="2"/>
      <w:r w:rsidRPr="004B169D">
        <w:rPr>
          <w:rFonts w:ascii="Arial" w:hAnsi="Arial" w:cs="Arial"/>
          <w:szCs w:val="20"/>
          <w:lang w:val="en-US"/>
        </w:rPr>
        <w:t>Notification of the Award Decision</w:t>
      </w:r>
    </w:p>
    <w:p w:rsidR="004B169D" w:rsidP="00520F26" w:rsidRDefault="004B169D" w14:paraId="42A982EE" w14:textId="7408E276">
      <w:pPr>
        <w:spacing w:after="240" w:line="276" w:lineRule="auto"/>
        <w:jc w:val="both"/>
        <w:rPr>
          <w:rFonts w:ascii="Arial" w:hAnsi="Arial" w:cs="Arial"/>
          <w:szCs w:val="20"/>
          <w:lang w:val="en-US"/>
        </w:rPr>
      </w:pPr>
      <w:r w:rsidRPr="004B169D">
        <w:rPr>
          <w:rFonts w:ascii="Arial" w:hAnsi="Arial" w:cs="Arial"/>
          <w:szCs w:val="20"/>
          <w:lang w:val="en-US"/>
        </w:rPr>
        <w:t xml:space="preserve">Pursuant to Article 2.129 of the Tender Act 2012, the notification of the award decision does not constitute acceptance of an offer by a bidder. During a suspension period of at least </w:t>
      </w:r>
      <w:r w:rsidRPr="004B169D">
        <w:rPr>
          <w:rFonts w:ascii="Arial" w:hAnsi="Arial" w:cs="Arial"/>
          <w:color w:val="00B0F0"/>
          <w:szCs w:val="20"/>
          <w:lang w:val="en-US"/>
        </w:rPr>
        <w:t>twenty calendar days</w:t>
      </w:r>
      <w:r w:rsidRPr="004B169D">
        <w:rPr>
          <w:rFonts w:ascii="Arial" w:hAnsi="Arial" w:cs="Arial"/>
          <w:szCs w:val="20"/>
          <w:lang w:val="en-US"/>
        </w:rPr>
        <w:t xml:space="preserve"> after the notification of the award decision is sent, the </w:t>
      </w:r>
      <w:r>
        <w:rPr>
          <w:rFonts w:ascii="Arial" w:hAnsi="Arial" w:cs="Arial"/>
          <w:szCs w:val="20"/>
          <w:lang w:val="en-US"/>
        </w:rPr>
        <w:t>KB</w:t>
      </w:r>
      <w:r w:rsidRPr="004B169D">
        <w:rPr>
          <w:rFonts w:ascii="Arial" w:hAnsi="Arial" w:cs="Arial"/>
          <w:szCs w:val="20"/>
          <w:lang w:val="en-US"/>
        </w:rPr>
        <w:t xml:space="preserve"> is not allowed to enter into the contract with the winning bidder. If a preliminary injunction is initiated within this suspension period – which must be evidenced by sending a copy of the writ of summons – the </w:t>
      </w:r>
      <w:r>
        <w:rPr>
          <w:rFonts w:ascii="Arial" w:hAnsi="Arial" w:cs="Arial"/>
          <w:szCs w:val="20"/>
          <w:lang w:val="en-US"/>
        </w:rPr>
        <w:t>KB</w:t>
      </w:r>
      <w:r w:rsidRPr="004B169D">
        <w:rPr>
          <w:rFonts w:ascii="Arial" w:hAnsi="Arial" w:cs="Arial"/>
          <w:szCs w:val="20"/>
          <w:lang w:val="en-US"/>
        </w:rPr>
        <w:t xml:space="preserve"> will not proceed with awarding the contract until a judgment has been rendered in preliminary relief proceedings. The aforementioned period </w:t>
      </w:r>
      <w:r w:rsidRPr="004B169D">
        <w:rPr>
          <w:rFonts w:ascii="Arial" w:hAnsi="Arial" w:cs="Arial"/>
          <w:color w:val="00B0F0"/>
          <w:szCs w:val="20"/>
          <w:lang w:val="en-US"/>
        </w:rPr>
        <w:t xml:space="preserve">of twenty calendar days </w:t>
      </w:r>
      <w:r w:rsidRPr="004B169D">
        <w:rPr>
          <w:rFonts w:ascii="Arial" w:hAnsi="Arial" w:cs="Arial"/>
          <w:szCs w:val="20"/>
          <w:lang w:val="en-US"/>
        </w:rPr>
        <w:t>is a limitation period. If no preliminary injunction is initiated within this period, rejected bidders can no longer object to the decision and have forfeited their rights in this regard.</w:t>
      </w:r>
      <w:r w:rsidRPr="004B169D">
        <w:rPr>
          <w:rFonts w:ascii="Arial" w:hAnsi="Arial" w:cs="Arial"/>
          <w:szCs w:val="20"/>
          <w:lang w:val="en-US"/>
        </w:rPr>
        <w:t xml:space="preserve"> </w:t>
      </w:r>
    </w:p>
    <w:p w:rsidR="00DC5D80" w:rsidP="00520F26" w:rsidRDefault="00DC5D80" w14:paraId="455EAF67" w14:textId="7C36C2C5">
      <w:pPr>
        <w:spacing w:after="240" w:line="276" w:lineRule="auto"/>
        <w:jc w:val="both"/>
        <w:rPr>
          <w:rFonts w:ascii="Arial" w:hAnsi="Arial" w:cs="Arial"/>
          <w:szCs w:val="20"/>
          <w:lang w:val="en-US"/>
        </w:rPr>
      </w:pPr>
      <w:r w:rsidRPr="00DC5D80">
        <w:rPr>
          <w:rFonts w:ascii="Arial" w:hAnsi="Arial" w:cs="Arial"/>
          <w:szCs w:val="20"/>
          <w:lang w:val="en-US"/>
        </w:rPr>
        <w:t xml:space="preserve">This does not mean that the offer of the bidder is automatically accepted after the expiration of the suspension period. The </w:t>
      </w:r>
      <w:r>
        <w:rPr>
          <w:rFonts w:ascii="Arial" w:hAnsi="Arial" w:cs="Arial"/>
          <w:szCs w:val="20"/>
          <w:lang w:val="en-US"/>
        </w:rPr>
        <w:t>KB</w:t>
      </w:r>
      <w:r w:rsidRPr="00DC5D80">
        <w:rPr>
          <w:rFonts w:ascii="Arial" w:hAnsi="Arial" w:cs="Arial"/>
          <w:szCs w:val="20"/>
          <w:lang w:val="en-US"/>
        </w:rPr>
        <w:t xml:space="preserve"> will accept the bidder's offer after the verification phase (</w:t>
      </w:r>
      <w:r w:rsidRPr="00DC5D80">
        <w:rPr>
          <w:rFonts w:ascii="Arial" w:hAnsi="Arial" w:cs="Arial"/>
          <w:color w:val="00B0F0"/>
          <w:szCs w:val="20"/>
          <w:lang w:val="en-US"/>
        </w:rPr>
        <w:t>see paragraph 3.9 Verification of Evidence of the Descriptive Document</w:t>
      </w:r>
      <w:r w:rsidRPr="00DC5D80">
        <w:rPr>
          <w:rFonts w:ascii="Arial" w:hAnsi="Arial" w:cs="Arial"/>
          <w:szCs w:val="20"/>
          <w:lang w:val="en-US"/>
        </w:rPr>
        <w:t>).</w:t>
      </w:r>
    </w:p>
    <w:p w:rsidRPr="0058650A" w:rsidR="004B1EE9" w:rsidP="00520F26" w:rsidRDefault="001460F5" w14:paraId="3786E326" w14:textId="62D83FF6">
      <w:pPr>
        <w:pStyle w:val="Lijstalinea"/>
        <w:numPr>
          <w:ilvl w:val="0"/>
          <w:numId w:val="1"/>
        </w:numPr>
        <w:spacing w:after="240" w:line="276" w:lineRule="auto"/>
        <w:jc w:val="both"/>
        <w:rPr>
          <w:rFonts w:ascii="Arial" w:hAnsi="Arial" w:eastAsia="Raleway" w:cs="Arial"/>
          <w:b/>
          <w:color w:val="009FDA"/>
          <w:szCs w:val="20"/>
        </w:rPr>
      </w:pPr>
      <w:bookmarkStart w:name="_1ljsd9k" w:colFirst="0" w:colLast="0" w:id="3"/>
      <w:bookmarkEnd w:id="3"/>
      <w:r w:rsidRPr="001460F5">
        <w:rPr>
          <w:rFonts w:ascii="Arial" w:hAnsi="Arial" w:cs="Arial"/>
          <w:szCs w:val="20"/>
        </w:rPr>
        <w:t xml:space="preserve">Legal </w:t>
      </w:r>
      <w:proofErr w:type="spellStart"/>
      <w:r w:rsidRPr="001460F5">
        <w:rPr>
          <w:rFonts w:ascii="Arial" w:hAnsi="Arial" w:cs="Arial"/>
          <w:szCs w:val="20"/>
        </w:rPr>
        <w:t>Remedy</w:t>
      </w:r>
      <w:proofErr w:type="spellEnd"/>
    </w:p>
    <w:p w:rsidRPr="001460F5" w:rsidR="004B1EE9" w:rsidP="00520F26" w:rsidRDefault="001460F5" w14:paraId="4CC4E9FE" w14:textId="0BC6360B">
      <w:pPr>
        <w:spacing w:after="240" w:line="276" w:lineRule="auto"/>
        <w:jc w:val="both"/>
        <w:rPr>
          <w:rFonts w:ascii="Arial" w:hAnsi="Arial" w:cs="Arial"/>
          <w:szCs w:val="20"/>
          <w:lang w:val="en-US"/>
        </w:rPr>
      </w:pPr>
      <w:r w:rsidRPr="001460F5">
        <w:rPr>
          <w:rFonts w:ascii="Arial" w:hAnsi="Arial" w:cs="Arial"/>
          <w:szCs w:val="20"/>
          <w:lang w:val="en-US"/>
        </w:rPr>
        <w:t xml:space="preserve">If the bidder objects to the (reasoning of the) award decision, they must initiate preliminary injunction proceedings at the Court of The Hague within the suspension period of twenty calendar days (starting the day after the award decision is sent) by serving a summons. A copy of the summons must then be sent to the </w:t>
      </w:r>
      <w:r>
        <w:rPr>
          <w:rFonts w:ascii="Arial" w:hAnsi="Arial" w:cs="Arial"/>
          <w:szCs w:val="20"/>
          <w:lang w:val="en-US"/>
        </w:rPr>
        <w:t>KB</w:t>
      </w:r>
      <w:r w:rsidRPr="001460F5">
        <w:rPr>
          <w:rFonts w:ascii="Arial" w:hAnsi="Arial" w:cs="Arial"/>
          <w:szCs w:val="20"/>
          <w:lang w:val="en-US"/>
        </w:rPr>
        <w:t xml:space="preserve"> via the Tender platform as soon as possible in the interest of a quick and proper process.</w:t>
      </w:r>
      <w:r w:rsidRPr="001460F5" w:rsidR="004B1EE9">
        <w:rPr>
          <w:rFonts w:ascii="Arial" w:hAnsi="Arial" w:cs="Arial"/>
          <w:szCs w:val="20"/>
          <w:lang w:val="en-US"/>
        </w:rPr>
        <w:t xml:space="preserve"> </w:t>
      </w:r>
    </w:p>
    <w:p w:rsidRPr="00C323B6" w:rsidR="004B1EE9" w:rsidP="00520F26" w:rsidRDefault="00C323B6" w14:paraId="3951902A" w14:textId="644AFD13">
      <w:pPr>
        <w:spacing w:after="240" w:line="276" w:lineRule="auto"/>
        <w:jc w:val="both"/>
        <w:rPr>
          <w:rFonts w:ascii="Arial" w:hAnsi="Arial" w:cs="Arial"/>
          <w:szCs w:val="20"/>
          <w:lang w:val="en-US"/>
        </w:rPr>
      </w:pPr>
      <w:r w:rsidRPr="00C323B6">
        <w:rPr>
          <w:rFonts w:ascii="Arial" w:hAnsi="Arial" w:cs="Arial"/>
          <w:szCs w:val="20"/>
          <w:lang w:val="en-US"/>
        </w:rPr>
        <w:t>If the bidder does not initiate preliminary injunction proceedings within this suspension period, this means that:</w:t>
      </w:r>
    </w:p>
    <w:p w:rsidRPr="00C323B6" w:rsidR="004B1EE9" w:rsidP="00520F26" w:rsidRDefault="00C323B6" w14:paraId="09145B66" w14:textId="4779E562">
      <w:pPr>
        <w:numPr>
          <w:ilvl w:val="0"/>
          <w:numId w:val="4"/>
        </w:numPr>
        <w:spacing w:after="240" w:line="276" w:lineRule="auto"/>
        <w:jc w:val="both"/>
        <w:rPr>
          <w:rFonts w:ascii="Arial" w:hAnsi="Arial" w:cs="Arial"/>
          <w:szCs w:val="20"/>
          <w:lang w:val="en-US"/>
        </w:rPr>
      </w:pPr>
      <w:r w:rsidRPr="00C323B6">
        <w:rPr>
          <w:rFonts w:ascii="Arial" w:hAnsi="Arial" w:cs="Arial"/>
          <w:szCs w:val="20"/>
          <w:lang w:val="en-US"/>
        </w:rPr>
        <w:t>The bidder forfeits the right to contest the outcome and further course of the Tender</w:t>
      </w:r>
      <w:r w:rsidRPr="00C323B6" w:rsidR="004B1EE9">
        <w:rPr>
          <w:rFonts w:ascii="Arial" w:hAnsi="Arial" w:cs="Arial"/>
          <w:szCs w:val="20"/>
          <w:lang w:val="en-US"/>
        </w:rPr>
        <w:t>;</w:t>
      </w:r>
    </w:p>
    <w:p w:rsidRPr="00C323B6" w:rsidR="004B1EE9" w:rsidP="00520F26" w:rsidRDefault="00C323B6" w14:paraId="6D031E1C" w14:textId="7CF8098C">
      <w:pPr>
        <w:numPr>
          <w:ilvl w:val="0"/>
          <w:numId w:val="4"/>
        </w:numPr>
        <w:spacing w:after="240" w:line="276" w:lineRule="auto"/>
        <w:jc w:val="both"/>
        <w:rPr>
          <w:rFonts w:ascii="Arial" w:hAnsi="Arial" w:cs="Arial"/>
          <w:szCs w:val="20"/>
          <w:lang w:val="en-US"/>
        </w:rPr>
      </w:pPr>
      <w:r w:rsidRPr="00C323B6">
        <w:rPr>
          <w:rFonts w:ascii="Arial" w:hAnsi="Arial" w:cs="Arial"/>
          <w:szCs w:val="20"/>
          <w:lang w:val="en-US"/>
        </w:rPr>
        <w:t xml:space="preserve">The bidder also forfeits their rights to claim certain (legal) actions and/or compensation from the </w:t>
      </w:r>
      <w:r>
        <w:rPr>
          <w:rFonts w:ascii="Arial" w:hAnsi="Arial" w:cs="Arial"/>
          <w:szCs w:val="20"/>
          <w:lang w:val="en-US"/>
        </w:rPr>
        <w:t>KB</w:t>
      </w:r>
      <w:r w:rsidRPr="00C323B6">
        <w:rPr>
          <w:rFonts w:ascii="Arial" w:hAnsi="Arial" w:cs="Arial"/>
          <w:szCs w:val="20"/>
          <w:lang w:val="en-US"/>
        </w:rPr>
        <w:t xml:space="preserve"> after the end of this period in substantive proceedings or preliminary relief proceedings</w:t>
      </w:r>
      <w:r w:rsidRPr="00C323B6" w:rsidR="004B1EE9">
        <w:rPr>
          <w:rFonts w:ascii="Arial" w:hAnsi="Arial" w:cs="Arial"/>
          <w:szCs w:val="20"/>
          <w:lang w:val="en-US"/>
        </w:rPr>
        <w:t>.</w:t>
      </w:r>
    </w:p>
    <w:p w:rsidRPr="00804A48" w:rsidR="004B1EE9" w:rsidP="00520F26" w:rsidRDefault="00804A48" w14:paraId="2BA71202" w14:textId="7EE41B85">
      <w:pPr>
        <w:spacing w:after="240" w:line="276" w:lineRule="auto"/>
        <w:jc w:val="both"/>
        <w:rPr>
          <w:rFonts w:ascii="Arial" w:hAnsi="Arial" w:cs="Arial"/>
          <w:szCs w:val="20"/>
          <w:lang w:val="en-US"/>
        </w:rPr>
      </w:pPr>
      <w:r w:rsidRPr="00804A48">
        <w:rPr>
          <w:rFonts w:ascii="Arial" w:hAnsi="Arial" w:cs="Arial"/>
          <w:szCs w:val="20"/>
          <w:lang w:val="en-US"/>
        </w:rPr>
        <w:lastRenderedPageBreak/>
        <w:t xml:space="preserve">The </w:t>
      </w:r>
      <w:r>
        <w:rPr>
          <w:rFonts w:ascii="Arial" w:hAnsi="Arial" w:cs="Arial"/>
          <w:szCs w:val="20"/>
          <w:lang w:val="en-US"/>
        </w:rPr>
        <w:t>KB</w:t>
      </w:r>
      <w:r w:rsidRPr="00804A48">
        <w:rPr>
          <w:rFonts w:ascii="Arial" w:hAnsi="Arial" w:cs="Arial"/>
          <w:szCs w:val="20"/>
          <w:lang w:val="en-US"/>
        </w:rPr>
        <w:t xml:space="preserve"> will award the Contract to the bidder when the aforementioned suspension period has expired without a preliminary injunction being initiated, provided that the </w:t>
      </w:r>
      <w:r>
        <w:rPr>
          <w:rFonts w:ascii="Arial" w:hAnsi="Arial" w:cs="Arial"/>
          <w:szCs w:val="20"/>
          <w:lang w:val="en-US"/>
        </w:rPr>
        <w:t>KB</w:t>
      </w:r>
      <w:r w:rsidRPr="00804A48">
        <w:rPr>
          <w:rFonts w:ascii="Arial" w:hAnsi="Arial" w:cs="Arial"/>
          <w:szCs w:val="20"/>
          <w:lang w:val="en-US"/>
        </w:rPr>
        <w:t xml:space="preserve"> has not (interim) retracted its award decision in writing. The </w:t>
      </w:r>
      <w:r>
        <w:rPr>
          <w:rFonts w:ascii="Arial" w:hAnsi="Arial" w:cs="Arial"/>
          <w:szCs w:val="20"/>
          <w:lang w:val="en-US"/>
        </w:rPr>
        <w:t>KB</w:t>
      </w:r>
      <w:r w:rsidRPr="00804A48">
        <w:rPr>
          <w:rFonts w:ascii="Arial" w:hAnsi="Arial" w:cs="Arial"/>
          <w:szCs w:val="20"/>
          <w:lang w:val="en-US"/>
        </w:rPr>
        <w:t xml:space="preserve"> explicitly reserves the right to retract the award decision if it deems necessary. If preliminary injunction and/or substantive proceedings are initiated against the award decision or rejection in a timely manner, the </w:t>
      </w:r>
      <w:r>
        <w:rPr>
          <w:rFonts w:ascii="Arial" w:hAnsi="Arial" w:cs="Arial"/>
          <w:szCs w:val="20"/>
          <w:lang w:val="en-US"/>
        </w:rPr>
        <w:t>KB</w:t>
      </w:r>
      <w:r w:rsidRPr="00804A48">
        <w:rPr>
          <w:rFonts w:ascii="Arial" w:hAnsi="Arial" w:cs="Arial"/>
          <w:szCs w:val="20"/>
          <w:lang w:val="en-US"/>
        </w:rPr>
        <w:t xml:space="preserve"> will not proceed with awarding the Contract until the preliminary relief judge has ruled. In the event that preliminary injunction proceedings are initiated, the other bidders will intervene in the proceedings at the organization's first request, on pain of forfeiting the right to contest the decisions made by the organization due to (the outcome of) the preliminary injunction.</w:t>
      </w:r>
    </w:p>
    <w:p w:rsidRPr="00804A48" w:rsidR="004B1EE9" w:rsidP="00520F26" w:rsidRDefault="004B1EE9" w14:paraId="3068D91D" w14:textId="77777777">
      <w:pPr>
        <w:spacing w:after="240" w:line="276" w:lineRule="auto"/>
        <w:jc w:val="both"/>
        <w:rPr>
          <w:rFonts w:ascii="Arial" w:hAnsi="Arial" w:cs="Arial"/>
          <w:szCs w:val="20"/>
          <w:lang w:val="en-US"/>
        </w:rPr>
      </w:pPr>
    </w:p>
    <w:sectPr w:rsidRPr="00804A48" w:rsidR="004B1EE9" w:rsidSect="000A40DA">
      <w:headerReference w:type="default" r:id="rId15"/>
      <w:footerReference w:type="default" r:id="rId16"/>
      <w:pgSz w:w="11900" w:h="16840" w:orient="portrait" w:code="9"/>
      <w:pgMar w:top="2835" w:right="1985" w:bottom="1701" w:left="1985" w:header="964" w:footer="73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86D71" w:rsidP="003D4B84" w:rsidRDefault="00886D71" w14:paraId="678DF0DE" w14:textId="77777777">
      <w:r>
        <w:separator/>
      </w:r>
    </w:p>
  </w:endnote>
  <w:endnote w:type="continuationSeparator" w:id="0">
    <w:p w:rsidR="00886D71" w:rsidP="003D4B84" w:rsidRDefault="00886D71" w14:paraId="003A31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Medium">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8789" w:type="dxa"/>
      <w:tblBorders>
        <w:top w:val="none" w:color="auto" w:sz="0" w:space="0"/>
        <w:left w:val="none" w:color="auto" w:sz="0" w:space="0"/>
        <w:bottom w:val="none" w:color="auto" w:sz="0" w:space="0"/>
        <w:right w:val="none" w:color="auto" w:sz="0" w:space="0"/>
        <w:insideV w:val="none" w:color="auto" w:sz="0" w:space="0"/>
      </w:tblBorders>
      <w:tblCellMar>
        <w:left w:w="0" w:type="dxa"/>
      </w:tblCellMar>
      <w:tblLook w:val="04A0" w:firstRow="1" w:lastRow="0" w:firstColumn="1" w:lastColumn="0" w:noHBand="0" w:noVBand="1"/>
    </w:tblPr>
    <w:tblGrid>
      <w:gridCol w:w="2268"/>
      <w:gridCol w:w="3024"/>
      <w:gridCol w:w="2646"/>
      <w:gridCol w:w="851"/>
    </w:tblGrid>
    <w:tr w:rsidRPr="00256341" w:rsidR="00223BBC" w:rsidTr="0072799E" w14:paraId="7716240F" w14:textId="77777777">
      <w:trPr>
        <w:trHeight w:val="425"/>
      </w:trPr>
      <w:tc>
        <w:tcPr>
          <w:tcW w:w="2268" w:type="dxa"/>
        </w:tcPr>
        <w:p w:rsidRPr="00256341" w:rsidR="00223BBC" w:rsidP="00676E9C" w:rsidRDefault="00223BBC" w14:paraId="689E4B41" w14:textId="77777777">
          <w:pPr>
            <w:pStyle w:val="Voettekst"/>
          </w:pPr>
          <w:r>
            <w:t>Postbus 90407</w:t>
          </w:r>
        </w:p>
        <w:p w:rsidRPr="00256341" w:rsidR="00223BBC" w:rsidP="00676E9C" w:rsidRDefault="00223BBC" w14:paraId="1BB9E524" w14:textId="2F816EFF">
          <w:pPr>
            <w:tabs>
              <w:tab w:val="left" w:pos="312"/>
            </w:tabs>
            <w:ind w:left="-114" w:firstLine="114"/>
            <w:rPr>
              <w:lang w:val="de-DE"/>
            </w:rPr>
          </w:pPr>
          <w:r>
            <w:rPr>
              <w:sz w:val="16"/>
              <w:szCs w:val="16"/>
              <w:lang w:val="de-DE"/>
            </w:rPr>
            <w:t xml:space="preserve">2509 </w:t>
          </w:r>
          <w:r w:rsidR="00520F26">
            <w:rPr>
              <w:sz w:val="16"/>
              <w:szCs w:val="16"/>
              <w:lang w:val="de-DE"/>
            </w:rPr>
            <w:t>LK</w:t>
          </w:r>
          <w:r w:rsidRPr="00256341" w:rsidR="00520F26">
            <w:rPr>
              <w:sz w:val="16"/>
              <w:szCs w:val="16"/>
              <w:lang w:val="de-DE"/>
            </w:rPr>
            <w:t xml:space="preserve"> </w:t>
          </w:r>
          <w:r w:rsidR="00520F26">
            <w:rPr>
              <w:sz w:val="16"/>
              <w:szCs w:val="16"/>
              <w:lang w:val="de-DE"/>
            </w:rPr>
            <w:t>Den</w:t>
          </w:r>
          <w:r w:rsidRPr="00256341">
            <w:rPr>
              <w:sz w:val="16"/>
              <w:szCs w:val="16"/>
              <w:lang w:val="de-DE"/>
            </w:rPr>
            <w:t xml:space="preserve"> Haag</w:t>
          </w:r>
        </w:p>
      </w:tc>
      <w:tc>
        <w:tcPr>
          <w:tcW w:w="3024" w:type="dxa"/>
        </w:tcPr>
        <w:p w:rsidRPr="003266A5" w:rsidR="00223BBC" w:rsidP="00D25596" w:rsidRDefault="00223BBC" w14:paraId="45985877" w14:textId="77777777">
          <w:pPr>
            <w:pStyle w:val="Voettekst"/>
            <w:rPr>
              <w:lang w:val="de-DE"/>
            </w:rPr>
          </w:pPr>
          <w:r w:rsidRPr="003266A5">
            <w:rPr>
              <w:lang w:val="de-DE"/>
            </w:rPr>
            <w:t>Prins Willem-Alexanderhof 5</w:t>
          </w:r>
        </w:p>
        <w:p w:rsidRPr="003266A5" w:rsidR="00223BBC" w:rsidP="00676E9C" w:rsidRDefault="00223BBC" w14:paraId="0086A487" w14:textId="0FD7CEFC">
          <w:pPr>
            <w:pStyle w:val="Voettekst"/>
            <w:rPr>
              <w:lang w:val="de-DE"/>
            </w:rPr>
          </w:pPr>
          <w:r>
            <w:rPr>
              <w:lang w:val="de-DE"/>
            </w:rPr>
            <w:t xml:space="preserve">2595 </w:t>
          </w:r>
          <w:r w:rsidR="00520F26">
            <w:rPr>
              <w:lang w:val="de-DE"/>
            </w:rPr>
            <w:t>BE</w:t>
          </w:r>
          <w:r w:rsidRPr="003266A5" w:rsidR="00520F26">
            <w:rPr>
              <w:lang w:val="de-DE"/>
            </w:rPr>
            <w:t xml:space="preserve"> </w:t>
          </w:r>
          <w:r w:rsidR="00520F26">
            <w:rPr>
              <w:lang w:val="de-DE"/>
            </w:rPr>
            <w:t>Den</w:t>
          </w:r>
          <w:r w:rsidRPr="003266A5">
            <w:rPr>
              <w:lang w:val="de-DE"/>
            </w:rPr>
            <w:t xml:space="preserve"> Haag</w:t>
          </w:r>
        </w:p>
      </w:tc>
      <w:tc>
        <w:tcPr>
          <w:tcW w:w="2646" w:type="dxa"/>
        </w:tcPr>
        <w:p w:rsidR="00223BBC" w:rsidP="00676E9C" w:rsidRDefault="004575D9" w14:paraId="4862739C" w14:textId="77777777">
          <w:pPr>
            <w:pStyle w:val="Voettekst"/>
          </w:pPr>
          <w:hyperlink w:history="1" r:id="rId1">
            <w:r w:rsidRPr="00D43F0C" w:rsidR="00223BBC">
              <w:rPr>
                <w:rStyle w:val="Hyperlink"/>
              </w:rPr>
              <w:t>www.kb.nl</w:t>
            </w:r>
          </w:hyperlink>
        </w:p>
        <w:p w:rsidRPr="00256341" w:rsidR="00223BBC" w:rsidP="00676E9C" w:rsidRDefault="00223BBC" w14:paraId="03F9F3BB" w14:textId="77777777">
          <w:pPr>
            <w:pStyle w:val="Voettekst"/>
          </w:pPr>
          <w:r w:rsidRPr="009331A8">
            <w:t>(070) 314 09 11</w:t>
          </w:r>
        </w:p>
      </w:tc>
      <w:tc>
        <w:tcPr>
          <w:tcW w:w="851" w:type="dxa"/>
          <w:vAlign w:val="bottom"/>
        </w:tcPr>
        <w:p w:rsidR="00223BBC" w:rsidP="00223BBC" w:rsidRDefault="00223BBC" w14:paraId="2707F386" w14:textId="77777777">
          <w:pPr>
            <w:pStyle w:val="Voettekst"/>
            <w:jc w:val="right"/>
            <w:rPr>
              <w:rStyle w:val="Hyperlink"/>
            </w:rPr>
          </w:pPr>
          <w:r w:rsidRPr="00223BBC">
            <w:rPr>
              <w:rStyle w:val="Hyperlink"/>
            </w:rPr>
            <w:fldChar w:fldCharType="begin"/>
          </w:r>
          <w:r w:rsidRPr="00223BBC">
            <w:rPr>
              <w:rStyle w:val="Hyperlink"/>
            </w:rPr>
            <w:instrText>PAGE   \* MERGEFORMAT</w:instrText>
          </w:r>
          <w:r w:rsidRPr="00223BBC">
            <w:rPr>
              <w:rStyle w:val="Hyperlink"/>
            </w:rPr>
            <w:fldChar w:fldCharType="separate"/>
          </w:r>
          <w:r w:rsidRPr="00223BBC">
            <w:rPr>
              <w:rStyle w:val="Hyperlink"/>
            </w:rPr>
            <w:t>1</w:t>
          </w:r>
          <w:r w:rsidRPr="00223BBC">
            <w:rPr>
              <w:rStyle w:val="Hyperlink"/>
            </w:rPr>
            <w:fldChar w:fldCharType="end"/>
          </w:r>
        </w:p>
      </w:tc>
    </w:tr>
  </w:tbl>
  <w:p w:rsidRPr="00256341" w:rsidR="003D4B84" w:rsidP="00676E9C" w:rsidRDefault="003D4B84" w14:paraId="27723F1F" w14:textId="77777777">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86D71" w:rsidP="003D4B84" w:rsidRDefault="00886D71" w14:paraId="6776CE53" w14:textId="77777777">
      <w:r>
        <w:separator/>
      </w:r>
    </w:p>
  </w:footnote>
  <w:footnote w:type="continuationSeparator" w:id="0">
    <w:p w:rsidR="00886D71" w:rsidP="003D4B84" w:rsidRDefault="00886D71" w14:paraId="5AA70D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p w:rsidR="00CB6525" w:rsidRDefault="000A40DA" w14:paraId="596E4209" w14:textId="77777777">
    <w:pPr>
      <w:pStyle w:val="Koptekst"/>
    </w:pPr>
    <w:r>
      <w:rPr>
        <w:noProof/>
      </w:rPr>
      <mc:AlternateContent>
        <mc:Choice Requires="wps">
          <w:drawing>
            <wp:anchor distT="0" distB="0" distL="114300" distR="114300" simplePos="0" relativeHeight="251661312" behindDoc="1" locked="1" layoutInCell="1" allowOverlap="1" wp14:anchorId="1A00E832" wp14:editId="2FD89823">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Vrije vorm: vorm 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spid="_x0000_s1026" fillcolor="#9cdbd9 [3206]" stroked="f" strokeweight=".85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w14:anchorId="5BFFE93C">
              <v:path arrowok="t" o:connecttype="custom" o:connectlocs="0,0;316800,1220400;0,2440800;0,0" o:connectangles="0,0,0,0"/>
              <w10:wrap anchorx="page" anchory="page"/>
              <w10:anchorlock/>
            </v:shape>
          </w:pict>
        </mc:Fallback>
      </mc:AlternateContent>
    </w:r>
    <w:r w:rsidRPr="00CB6525" w:rsidR="00CB6525">
      <w:rPr>
        <w:noProof/>
      </w:rPr>
      <w:drawing>
        <wp:inline distT="0" distB="0" distL="0" distR="0" wp14:anchorId="2351459E" wp14:editId="7FE87C23">
          <wp:extent cx="2353342" cy="6778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77C0F"/>
    <w:multiLevelType w:val="multilevel"/>
    <w:tmpl w:val="5B4A8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E832F1"/>
    <w:multiLevelType w:val="multilevel"/>
    <w:tmpl w:val="11A44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9F312F"/>
    <w:multiLevelType w:val="hybridMultilevel"/>
    <w:tmpl w:val="F76CB668"/>
    <w:lvl w:ilvl="0" w:tplc="35485FCE">
      <w:start w:val="1"/>
      <w:numFmt w:val="decimal"/>
      <w:lvlText w:val="%1."/>
      <w:lvlJc w:val="left"/>
      <w:pPr>
        <w:ind w:left="720" w:hanging="360"/>
      </w:pPr>
      <w:rPr>
        <w:rFonts w:hint="default" w:ascii="Arial" w:hAnsi="Arial" w:cs="Arial"/>
        <w:b w:val="0"/>
        <w:bCs/>
        <w:color w:val="auto"/>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FA52F67"/>
    <w:multiLevelType w:val="multilevel"/>
    <w:tmpl w:val="9168BFC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1343279">
    <w:abstractNumId w:val="2"/>
  </w:num>
  <w:num w:numId="2" w16cid:durableId="295990624">
    <w:abstractNumId w:val="3"/>
  </w:num>
  <w:num w:numId="3" w16cid:durableId="1381972985">
    <w:abstractNumId w:val="1"/>
  </w:num>
  <w:num w:numId="4" w16cid:durableId="202204863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616"/>
    <w:rsid w:val="000022A2"/>
    <w:rsid w:val="00014B1D"/>
    <w:rsid w:val="00016616"/>
    <w:rsid w:val="000319E7"/>
    <w:rsid w:val="00060364"/>
    <w:rsid w:val="000754A4"/>
    <w:rsid w:val="00094160"/>
    <w:rsid w:val="000A40DA"/>
    <w:rsid w:val="000D66B0"/>
    <w:rsid w:val="000F4C40"/>
    <w:rsid w:val="00117EF8"/>
    <w:rsid w:val="001460F5"/>
    <w:rsid w:val="00156BE5"/>
    <w:rsid w:val="00176AF7"/>
    <w:rsid w:val="00177E09"/>
    <w:rsid w:val="00181598"/>
    <w:rsid w:val="00223BBC"/>
    <w:rsid w:val="00253D9D"/>
    <w:rsid w:val="00256341"/>
    <w:rsid w:val="00276626"/>
    <w:rsid w:val="00302286"/>
    <w:rsid w:val="003136BA"/>
    <w:rsid w:val="003266A5"/>
    <w:rsid w:val="00380931"/>
    <w:rsid w:val="003D4B84"/>
    <w:rsid w:val="003F1E78"/>
    <w:rsid w:val="0042004F"/>
    <w:rsid w:val="00425F66"/>
    <w:rsid w:val="004575D9"/>
    <w:rsid w:val="00464404"/>
    <w:rsid w:val="004753DE"/>
    <w:rsid w:val="004829FA"/>
    <w:rsid w:val="00486672"/>
    <w:rsid w:val="004B169D"/>
    <w:rsid w:val="004B1EE9"/>
    <w:rsid w:val="004D7141"/>
    <w:rsid w:val="004E406E"/>
    <w:rsid w:val="00520F26"/>
    <w:rsid w:val="00521F7E"/>
    <w:rsid w:val="00530945"/>
    <w:rsid w:val="00551853"/>
    <w:rsid w:val="00580413"/>
    <w:rsid w:val="0058650A"/>
    <w:rsid w:val="00593A38"/>
    <w:rsid w:val="005A5FB5"/>
    <w:rsid w:val="005D2E9F"/>
    <w:rsid w:val="005D2EB8"/>
    <w:rsid w:val="005F3484"/>
    <w:rsid w:val="0060132E"/>
    <w:rsid w:val="0062022F"/>
    <w:rsid w:val="00675170"/>
    <w:rsid w:val="00676E9C"/>
    <w:rsid w:val="006A5F4A"/>
    <w:rsid w:val="006D2B4B"/>
    <w:rsid w:val="0070647F"/>
    <w:rsid w:val="00724C1D"/>
    <w:rsid w:val="00726B14"/>
    <w:rsid w:val="0072799E"/>
    <w:rsid w:val="007504D5"/>
    <w:rsid w:val="00782CF8"/>
    <w:rsid w:val="007833FB"/>
    <w:rsid w:val="0079689B"/>
    <w:rsid w:val="007A7BBB"/>
    <w:rsid w:val="007F1359"/>
    <w:rsid w:val="00804A48"/>
    <w:rsid w:val="00810616"/>
    <w:rsid w:val="00826CBA"/>
    <w:rsid w:val="00830A53"/>
    <w:rsid w:val="00847ADE"/>
    <w:rsid w:val="00864373"/>
    <w:rsid w:val="00873A55"/>
    <w:rsid w:val="00876F0B"/>
    <w:rsid w:val="00886D71"/>
    <w:rsid w:val="008A039A"/>
    <w:rsid w:val="008A0798"/>
    <w:rsid w:val="008A3C95"/>
    <w:rsid w:val="008A621C"/>
    <w:rsid w:val="008C652F"/>
    <w:rsid w:val="008D6861"/>
    <w:rsid w:val="008D68D3"/>
    <w:rsid w:val="00900DAC"/>
    <w:rsid w:val="009331A8"/>
    <w:rsid w:val="009757AE"/>
    <w:rsid w:val="009A38BB"/>
    <w:rsid w:val="009D00CD"/>
    <w:rsid w:val="00A019A6"/>
    <w:rsid w:val="00AA11EB"/>
    <w:rsid w:val="00AB24F8"/>
    <w:rsid w:val="00AC0915"/>
    <w:rsid w:val="00B0324B"/>
    <w:rsid w:val="00B221B4"/>
    <w:rsid w:val="00B531B1"/>
    <w:rsid w:val="00BD7893"/>
    <w:rsid w:val="00C272CD"/>
    <w:rsid w:val="00C323B6"/>
    <w:rsid w:val="00C337DD"/>
    <w:rsid w:val="00CA5DD3"/>
    <w:rsid w:val="00CA5DEA"/>
    <w:rsid w:val="00CB6525"/>
    <w:rsid w:val="00CD5969"/>
    <w:rsid w:val="00D0690B"/>
    <w:rsid w:val="00D10EB6"/>
    <w:rsid w:val="00D111A7"/>
    <w:rsid w:val="00D25596"/>
    <w:rsid w:val="00D52A96"/>
    <w:rsid w:val="00D753BE"/>
    <w:rsid w:val="00D84976"/>
    <w:rsid w:val="00DA2EED"/>
    <w:rsid w:val="00DC0A9D"/>
    <w:rsid w:val="00DC498A"/>
    <w:rsid w:val="00DC5D80"/>
    <w:rsid w:val="00DD3FC2"/>
    <w:rsid w:val="00DF615F"/>
    <w:rsid w:val="00E01526"/>
    <w:rsid w:val="00E06E94"/>
    <w:rsid w:val="00E15BD7"/>
    <w:rsid w:val="00E72F40"/>
    <w:rsid w:val="00E76C2E"/>
    <w:rsid w:val="00EB0C95"/>
    <w:rsid w:val="00EC3DDE"/>
    <w:rsid w:val="00EC78F6"/>
    <w:rsid w:val="00F04523"/>
    <w:rsid w:val="00FA26D7"/>
    <w:rsid w:val="00FA5CB6"/>
    <w:rsid w:val="00FE2EC8"/>
    <w:rsid w:val="0568A08A"/>
    <w:rsid w:val="1477CA80"/>
    <w:rsid w:val="39F758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700D8"/>
  <w15:chartTrackingRefBased/>
  <w15:docId w15:val="{259F8588-E90F-4E55-A41B-FE259CF1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ard" w:default="1">
    <w:name w:val="Normal"/>
    <w:qFormat/>
    <w:rsid w:val="00BD7893"/>
    <w:rPr>
      <w:sz w:val="20"/>
    </w:rPr>
  </w:style>
  <w:style w:type="paragraph" w:styleId="Kop2">
    <w:name w:val="heading 2"/>
    <w:basedOn w:val="Standaard"/>
    <w:next w:val="Standaard"/>
    <w:link w:val="Kop2Char"/>
    <w:uiPriority w:val="9"/>
    <w:unhideWhenUsed/>
    <w:qFormat/>
    <w:rsid w:val="004B1EE9"/>
    <w:pPr>
      <w:keepNext/>
      <w:keepLines/>
      <w:spacing w:line="324" w:lineRule="auto"/>
      <w:ind w:right="-2"/>
      <w:outlineLvl w:val="1"/>
    </w:pPr>
    <w:rPr>
      <w:rFonts w:ascii="Raleway Medium" w:hAnsi="Raleway Medium" w:eastAsia="Raleway Medium" w:cs="Raleway Medium"/>
      <w:color w:val="FF00BC"/>
      <w:sz w:val="33"/>
      <w:szCs w:val="33"/>
      <w:lang w:va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873A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temnaam" w:customStyle="1">
    <w:name w:val="itemnaam"/>
    <w:basedOn w:val="Standaard"/>
    <w:rsid w:val="00873A55"/>
    <w:pPr>
      <w:tabs>
        <w:tab w:val="left" w:pos="1320"/>
      </w:tabs>
      <w:spacing w:line="200" w:lineRule="atLeast"/>
    </w:pPr>
    <w:rPr>
      <w:rFonts w:ascii="AGaramond" w:hAnsi="AGaramond" w:eastAsia="Times New Roman" w:cs="Times New Roman"/>
      <w:sz w:val="14"/>
      <w:szCs w:val="18"/>
      <w:lang w:eastAsia="nl-NL"/>
    </w:rPr>
  </w:style>
  <w:style w:type="paragraph" w:styleId="iteminhoud" w:customStyle="1">
    <w:name w:val="iteminhoud"/>
    <w:basedOn w:val="Standaard"/>
    <w:next w:val="itemnaam"/>
    <w:rsid w:val="00873A55"/>
    <w:pPr>
      <w:tabs>
        <w:tab w:val="left" w:pos="1320"/>
      </w:tabs>
      <w:spacing w:after="100" w:line="200" w:lineRule="atLeast"/>
    </w:pPr>
    <w:rPr>
      <w:rFonts w:ascii="AGaramond" w:hAnsi="AGaramond" w:eastAsia="Times New Roman" w:cs="Times New Roman"/>
      <w:noProof/>
      <w:sz w:val="18"/>
      <w:szCs w:val="18"/>
      <w:lang w:eastAsia="nl-NL"/>
    </w:rPr>
  </w:style>
  <w:style w:type="paragraph" w:styleId="Brief" w:customStyle="1">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hAnsi="AGaramond" w:eastAsia="Times New Roman"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styleId="Onopgelostemelding1" w:customStyle="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styleId="KoptekstChar" w:customStyle="1">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styleId="VoettekstChar" w:customStyle="1">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styleId="Kopje" w:customStyle="1">
    <w:name w:val="Kopje"/>
    <w:basedOn w:val="Geenafstand"/>
    <w:qFormat/>
    <w:rsid w:val="0072799E"/>
    <w:pPr>
      <w:framePr w:hSpace="141" w:wrap="around" w:hAnchor="margin" w:vAnchor="page" w:y="2921"/>
      <w:spacing w:line="276" w:lineRule="auto"/>
      <w:jc w:val="right"/>
    </w:pPr>
    <w:rPr>
      <w:b/>
      <w:sz w:val="20"/>
      <w:szCs w:val="20"/>
    </w:rPr>
  </w:style>
  <w:style w:type="paragraph" w:styleId="Tekst9pt" w:customStyle="1">
    <w:name w:val="Tekst 9pt"/>
    <w:basedOn w:val="Geenafstand"/>
    <w:qFormat/>
    <w:rsid w:val="003266A5"/>
    <w:pPr>
      <w:framePr w:hSpace="141" w:wrap="around" w:hAnchor="margin" w:vAnchor="page" w:y="2921"/>
      <w:spacing w:line="276" w:lineRule="auto"/>
      <w:jc w:val="right"/>
    </w:pPr>
    <w:rPr>
      <w:sz w:val="18"/>
      <w:szCs w:val="18"/>
    </w:rPr>
  </w:style>
  <w:style w:type="paragraph" w:styleId="Lijstalinea">
    <w:name w:val="List Paragraph"/>
    <w:basedOn w:val="Standaard"/>
    <w:uiPriority w:val="34"/>
    <w:rsid w:val="008D6861"/>
    <w:pPr>
      <w:ind w:left="720"/>
      <w:contextualSpacing/>
    </w:pPr>
  </w:style>
  <w:style w:type="character" w:styleId="Verwijzingopmerking">
    <w:name w:val="annotation reference"/>
    <w:basedOn w:val="Standaardalinea-lettertype"/>
    <w:uiPriority w:val="99"/>
    <w:semiHidden/>
    <w:unhideWhenUsed/>
    <w:rsid w:val="00DC0A9D"/>
    <w:rPr>
      <w:sz w:val="16"/>
      <w:szCs w:val="16"/>
    </w:rPr>
  </w:style>
  <w:style w:type="paragraph" w:styleId="Tekstopmerking">
    <w:name w:val="annotation text"/>
    <w:basedOn w:val="Standaard"/>
    <w:link w:val="TekstopmerkingChar"/>
    <w:uiPriority w:val="99"/>
    <w:unhideWhenUsed/>
    <w:rsid w:val="00DC0A9D"/>
    <w:rPr>
      <w:szCs w:val="20"/>
    </w:rPr>
  </w:style>
  <w:style w:type="character" w:styleId="TekstopmerkingChar" w:customStyle="1">
    <w:name w:val="Tekst opmerking Char"/>
    <w:basedOn w:val="Standaardalinea-lettertype"/>
    <w:link w:val="Tekstopmerking"/>
    <w:uiPriority w:val="99"/>
    <w:rsid w:val="00DC0A9D"/>
    <w:rPr>
      <w:sz w:val="20"/>
      <w:szCs w:val="20"/>
    </w:rPr>
  </w:style>
  <w:style w:type="paragraph" w:styleId="Onderwerpvanopmerking">
    <w:name w:val="annotation subject"/>
    <w:basedOn w:val="Tekstopmerking"/>
    <w:next w:val="Tekstopmerking"/>
    <w:link w:val="OnderwerpvanopmerkingChar"/>
    <w:uiPriority w:val="99"/>
    <w:semiHidden/>
    <w:unhideWhenUsed/>
    <w:rsid w:val="00DC0A9D"/>
    <w:rPr>
      <w:b/>
      <w:bCs/>
    </w:rPr>
  </w:style>
  <w:style w:type="character" w:styleId="OnderwerpvanopmerkingChar" w:customStyle="1">
    <w:name w:val="Onderwerp van opmerking Char"/>
    <w:basedOn w:val="TekstopmerkingChar"/>
    <w:link w:val="Onderwerpvanopmerking"/>
    <w:uiPriority w:val="99"/>
    <w:semiHidden/>
    <w:rsid w:val="00DC0A9D"/>
    <w:rPr>
      <w:b/>
      <w:bCs/>
      <w:sz w:val="20"/>
      <w:szCs w:val="20"/>
    </w:rPr>
  </w:style>
  <w:style w:type="character" w:styleId="Kop2Char" w:customStyle="1">
    <w:name w:val="Kop 2 Char"/>
    <w:basedOn w:val="Standaardalinea-lettertype"/>
    <w:link w:val="Kop2"/>
    <w:uiPriority w:val="9"/>
    <w:rsid w:val="004B1EE9"/>
    <w:rPr>
      <w:rFonts w:ascii="Raleway Medium" w:hAnsi="Raleway Medium" w:eastAsia="Raleway Medium" w:cs="Raleway Medium"/>
      <w:color w:val="FF00BC"/>
      <w:sz w:val="33"/>
      <w:szCs w:val="33"/>
      <w:lang w:val="nl" w:eastAsia="nl-NL"/>
    </w:rPr>
  </w:style>
  <w:style w:type="character" w:styleId="Vermelding">
    <w:name w:val="Mention"/>
    <w:basedOn w:val="Standaardalinea-lettertype"/>
    <w:uiPriority w:val="99"/>
    <w:unhideWhenUsed/>
    <w:rsid w:val="00AC09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1790394797">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www.kb.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Create a new document." ma:contentTypeScope="" ma:versionID="d12b60e6ebd44c40bded425e9dfacbaa">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f27e5557f7b176888cf0ca422e9e614a"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Props1.xml><?xml version="1.0" encoding="utf-8"?>
<ds:datastoreItem xmlns:ds="http://schemas.openxmlformats.org/officeDocument/2006/customXml" ds:itemID="{1DA401F3-BC31-4937-BB2E-511168D924C5}">
  <ds:schemaRefs>
    <ds:schemaRef ds:uri="http://schemas.openxmlformats.org/officeDocument/2006/bibliography"/>
  </ds:schemaRefs>
</ds:datastoreItem>
</file>

<file path=customXml/itemProps2.xml><?xml version="1.0" encoding="utf-8"?>
<ds:datastoreItem xmlns:ds="http://schemas.openxmlformats.org/officeDocument/2006/customXml" ds:itemID="{ADC08FB5-36D6-427A-90F7-AA33854629DB}"/>
</file>

<file path=customXml/itemProps3.xml><?xml version="1.0" encoding="utf-8"?>
<ds:datastoreItem xmlns:ds="http://schemas.openxmlformats.org/officeDocument/2006/customXml" ds:itemID="{5B940B03-4E05-4028-B799-4CE6AF144A72}">
  <ds:schemaRefs>
    <ds:schemaRef ds:uri="http://schemas.microsoft.com/sharepoint/v3/contenttype/forms"/>
  </ds:schemaRefs>
</ds:datastoreItem>
</file>

<file path=customXml/itemProps4.xml><?xml version="1.0" encoding="utf-8"?>
<ds:datastoreItem xmlns:ds="http://schemas.openxmlformats.org/officeDocument/2006/customXml" ds:itemID="{629E01BB-87F5-41C3-B7AD-1F01075EE9F5}">
  <ds:schemaRefs>
    <ds:schemaRef ds:uri="http://schemas.microsoft.com/office/2006/metadata/properties"/>
    <ds:schemaRef ds:uri="http://schemas.microsoft.com/office/infopath/2007/PartnerControls"/>
    <ds:schemaRef ds:uri="9e203fb5-0c3b-4e5b-97e8-99f86fb8f1f4"/>
    <ds:schemaRef ds:uri="3ad68f93-a976-4229-8a8b-ca9fe24e0922"/>
    <ds:schemaRef ds:uri="47d3a8bf-27f3-4de4-98e8-683152693f15"/>
    <ds:schemaRef ds:uri="25cc0888-9a58-42a2-b6ca-a4983cbec4c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
  <dc:description/>
  <cp:lastModifiedBy>thomas.knol@adjust.nl</cp:lastModifiedBy>
  <cp:revision>71</cp:revision>
  <cp:lastPrinted>2018-11-14T09:05:00Z</cp:lastPrinted>
  <dcterms:created xsi:type="dcterms:W3CDTF">2023-07-31T08:45:00Z</dcterms:created>
  <dcterms:modified xsi:type="dcterms:W3CDTF">2024-08-27T07:59:19Z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